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4ae46828848c9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37293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SLAVONSKI ŠAMAC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1.359.024,13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1.281.269,85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781.303,87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731.542,55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577.720,26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549.727,30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95,2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23.406,35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&gt;&gt;100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692.019,63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999.378,32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691.965,00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975.971,97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141,0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330.598,23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330.598,23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114.244,74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95.646,44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83,7</w:t>
            </w:r>
          </w:p>
        </w:tc>
      </w:tr>
    </w:tbl>
    <w:p>
      <w:pPr>
        <w:spacing w:before="0" w:after="0"/>
      </w:pPr>
    </w:p>
    <w:p>
      <w:r>
        <w:t xml:space="preserve">Općina Slavonski Šamac ostvarila je manjak prihoda i primitaka u iznosu od 95.646,44 eura, kao rezultat ostvarenih prihoda i primitaka te rashoda i izdataka u izvještajnom razdoblju.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164.609,25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ovoj godini ova sredstva u cijelosti izostala, jer su i projekti koji su financirani iz njih završeni.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223.515,27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280.902,64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125,7</w:t>
            </w:r>
          </w:p>
        </w:tc>
      </w:tr>
    </w:tbl>
    <w:p>
      <w:pPr>
        <w:spacing w:before="0" w:after="0"/>
      </w:pPr>
    </w:p>
    <w:p>
      <w:r>
        <w:t xml:space="preserve">Ove bilježimo uplate sredstva projekta Zaželi.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262.765,82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309.215,32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117,7</w:t>
            </w:r>
          </w:p>
        </w:tc>
      </w:tr>
    </w:tbl>
    <w:p>
      <w:pPr>
        <w:spacing w:before="0" w:after="0"/>
      </w:pPr>
    </w:p>
    <w:p>
      <w:r>
        <w:t xml:space="preserve">Na ovoj stavci se evidentirane kapitalne pomoći za Zelenu urbanu obnovu i završna sredstva za izgradnju vrtića, indeks 117,7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zakupa i iznajmljivanja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7.174,52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9.474,64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132,1</w:t>
            </w:r>
          </w:p>
        </w:tc>
      </w:tr>
    </w:tbl>
    <w:p>
      <w:pPr>
        <w:spacing w:before="0" w:after="0"/>
      </w:pPr>
    </w:p>
    <w:p>
      <w:r>
        <w:t xml:space="preserve">Povećana naplata zakupa i najam, posebice najma općinskim domova, indeks 132,1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šume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3.144,27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ovoj godini ovaj prihod je izostao u cijelosti.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32.408,21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38.328,67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118,3</w:t>
            </w:r>
          </w:p>
        </w:tc>
      </w:tr>
    </w:tbl>
    <w:p>
      <w:pPr>
        <w:spacing w:before="0" w:after="0"/>
      </w:pPr>
    </w:p>
    <w:p>
      <w:r>
        <w:t xml:space="preserve">Ostvarena je veća naplata prihod aod komunalne i grobne naknade. Indeks 118,3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300.128,24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319.811,72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106,6</w:t>
            </w:r>
          </w:p>
        </w:tc>
      </w:tr>
    </w:tbl>
    <w:p>
      <w:pPr>
        <w:spacing w:before="0" w:after="0"/>
      </w:pPr>
    </w:p>
    <w:p>
      <w:r>
        <w:t xml:space="preserve">Povećanje izdataka za plaće, radi povećanja osnovice za plaće djelatnika općinske uprave i povećanje minimalne plaće kod djelatnika projekta Zaželi.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telefona, interneta, pošte i prijevoza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3.072,62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6.048,52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196,9</w:t>
            </w:r>
          </w:p>
        </w:tc>
      </w:tr>
    </w:tbl>
    <w:p>
      <w:pPr>
        <w:spacing w:before="0" w:after="0"/>
      </w:pPr>
    </w:p>
    <w:p>
      <w:r>
        <w:t xml:space="preserve">Povećani izdaci telefona i poštarine. Indeks 196,9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5.824,04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11.540,69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198,2</w:t>
            </w:r>
          </w:p>
        </w:tc>
      </w:tr>
    </w:tbl>
    <w:p>
      <w:pPr>
        <w:spacing w:before="0" w:after="0"/>
      </w:pPr>
    </w:p>
    <w:p>
      <w:r>
        <w:t xml:space="preserve">Povećanje finanscijskih rashoda radi povećanog plaćanja kamata banci na kratkoročno zaduženje. Indeks 198,2. Ostvareno 11.540,69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od kreditnih i ostalih financijskih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5.587,00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Kamate na primljeno kratkoročno zaduženje od matične banke.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24.269,95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2427,0</w:t>
            </w:r>
          </w:p>
        </w:tc>
      </w:tr>
    </w:tbl>
    <w:p>
      <w:pPr>
        <w:spacing w:before="0" w:after="0"/>
      </w:pPr>
    </w:p>
    <w:p>
      <w:r>
        <w:t xml:space="preserve">Sredstva se izdvajaju za sufinanciranje rashoda vrtića kojem je općina jedan od osnivača. Indeks 2427,0. Vrtić je započeo s radom krajem 2025.g.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građanima i kućanstvima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5.983,91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369,4</w:t>
            </w:r>
          </w:p>
        </w:tc>
      </w:tr>
    </w:tbl>
    <w:p>
      <w:pPr>
        <w:spacing w:before="0" w:after="0"/>
      </w:pPr>
    </w:p>
    <w:p>
      <w:r>
        <w:t xml:space="preserve">Sredstva se izdvaju se stambeno zbrinjavane mladih obitelji i sufinanciranje priključaka na vodovod mještanima. Indeks 369,4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proizvedene dugotrajne imovine (šifre 421+422+423+424+425+426)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631.895,55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66.786,77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10,6</w:t>
            </w:r>
          </w:p>
        </w:tc>
      </w:tr>
    </w:tbl>
    <w:p>
      <w:pPr>
        <w:spacing w:before="0" w:after="0"/>
      </w:pPr>
    </w:p>
    <w:p>
      <w:r>
        <w:t xml:space="preserve">U 2026.g. smanjena izdvajanja u ulaganja u imovinu, jer je projekt izgradnje vrtića koji je prošle godine bio aktualan završio.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1.295,89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49.728,40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3837,4</w:t>
            </w:r>
          </w:p>
        </w:tc>
      </w:tr>
    </w:tbl>
    <w:p>
      <w:pPr>
        <w:spacing w:before="0" w:after="0"/>
      </w:pPr>
    </w:p>
    <w:p>
      <w:r>
        <w:t xml:space="preserve">Oprema na ovoj stavci najviše se odnosi na kupljenu opremu za opremanje vrtića. Indeks 3837,4.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Dodatna ulaganja na građevinskim objektima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60.124,08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932.591,55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1551,1</w:t>
            </w:r>
          </w:p>
        </w:tc>
      </w:tr>
    </w:tbl>
    <w:p>
      <w:pPr>
        <w:spacing w:before="0" w:after="0"/>
      </w:pPr>
    </w:p>
    <w:p>
      <w:r>
        <w:t xml:space="preserve">Povećanje dodatnih ulaganja u ovoj godini odnosi se na projekt Zelene urbane obnove i rekonstrukciju postojećih objekata u valsništvu. Indeks 1551,1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330.598,23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Primljeni krediti odnose se na kratkročno zaduženje općine u svrhu podmirivanja redovnih obveza prema izvršiteljima radova i ostalim dobavljačima.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14.573,65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nepodmirene obveze odnose se na račune koji su kasnije pristigli u općini a imali su kratak rok dospjeća. Podmireni su u narednom razdoblju. Iznose 14.573,65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738.509,75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odnose se na plaće za rujan 2026. (zaželi i općina), obveze prema dobavljačima, te na nedopjelu glavnicu kratkoročnog zaduženja kod matične poslovne banke, te na primljene jamčevne pologe.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Kod ovog izvještaja bilježimo EU sredstva, potraživane ZNS ove te stanja ugovora o bespovratnim sredstvima i to:  NPOO za Zelenu urbanu obnovu, sredstva projekta Zažli koji zavrašava u ovoj godini, te zadnju uplatu sredstava izvor NPOO za izgradnju i opremanje vrtića.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8b4f483adf4940" /></Relationships>
</file>