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637" w:rsidRPr="00A41282" w:rsidRDefault="00EF3637" w:rsidP="00EF3637">
      <w:pPr>
        <w:widowControl w:val="0"/>
        <w:autoSpaceDE w:val="0"/>
        <w:autoSpaceDN w:val="0"/>
        <w:spacing w:before="72" w:after="0" w:line="276" w:lineRule="auto"/>
        <w:ind w:left="141" w:right="140" w:firstLine="70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0" w:name="_GoBack"/>
      <w:bookmarkEnd w:id="0"/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 temelju članka 48. stavka 4. Zakona o predškolskom odgoju i obrazovanju („Narodne novine“, broj 10/97, 107/07, 94/13, 98/19, 57/22, 101/23, 145/23, 145/24, 146/25 i 22/26) i  članka 27. Statuta Općine Slavonski Šamac (“Službeni vjesnik Brodsko-posavske županije”, broj 10/21, 36/23, 10/26 ), Općinsko vijeće Općine Slavonski Šamac na</w:t>
      </w:r>
      <w:r w:rsidRPr="00A41282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8. </w:t>
      </w: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sjednici od  15. lipnja 2026. godine, donosi</w:t>
      </w:r>
    </w:p>
    <w:p w:rsidR="00EF3637" w:rsidRPr="00A41282" w:rsidRDefault="00EF3637" w:rsidP="00EF3637">
      <w:pPr>
        <w:widowControl w:val="0"/>
        <w:autoSpaceDE w:val="0"/>
        <w:autoSpaceDN w:val="0"/>
        <w:spacing w:before="72" w:after="0" w:line="276" w:lineRule="auto"/>
        <w:ind w:left="141" w:right="140" w:firstLine="70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before="1" w:after="0" w:line="240" w:lineRule="auto"/>
        <w:ind w:left="1063" w:right="106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 D L U K</w:t>
      </w:r>
      <w:r w:rsidRPr="00A41282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b/>
          <w:bCs/>
          <w:spacing w:val="-10"/>
          <w:kern w:val="0"/>
          <w:sz w:val="22"/>
          <w:szCs w:val="22"/>
          <w14:ligatures w14:val="none"/>
        </w:rPr>
        <w:t>U</w:t>
      </w:r>
    </w:p>
    <w:p w:rsidR="00EF3637" w:rsidRPr="00A41282" w:rsidRDefault="00EF3637" w:rsidP="00EF3637">
      <w:pPr>
        <w:widowControl w:val="0"/>
        <w:autoSpaceDE w:val="0"/>
        <w:autoSpaceDN w:val="0"/>
        <w:spacing w:before="139" w:after="0" w:line="240" w:lineRule="auto"/>
        <w:ind w:left="1063" w:right="1063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</w:t>
      </w:r>
      <w:r w:rsidRPr="00A41282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mjerilima</w:t>
      </w:r>
      <w:r w:rsidRPr="00A41282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za</w:t>
      </w:r>
      <w:r w:rsidRPr="00A41282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naplatu</w:t>
      </w:r>
      <w:r w:rsidRPr="00A41282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usluga Dječjeg vrtića „Vila </w:t>
      </w:r>
      <w:proofErr w:type="spellStart"/>
      <w:r w:rsidRPr="00A4128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Zvončica</w:t>
      </w:r>
      <w:proofErr w:type="spellEnd"/>
      <w:r w:rsidRPr="00A4128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“ od roditelja/skrbnika – korisnika usluga za pedagošku godinu 2026./2027.</w:t>
      </w:r>
    </w:p>
    <w:p w:rsidR="00EF3637" w:rsidRPr="00A41282" w:rsidRDefault="00EF3637" w:rsidP="00EF3637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before="1" w:after="0" w:line="240" w:lineRule="auto"/>
        <w:ind w:left="1063" w:right="1064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Članak</w:t>
      </w:r>
      <w:r w:rsidRPr="00A41282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1.</w:t>
      </w:r>
    </w:p>
    <w:p w:rsidR="00EF3637" w:rsidRPr="00A41282" w:rsidRDefault="00EF3637" w:rsidP="00EF3637">
      <w:pPr>
        <w:widowControl w:val="0"/>
        <w:autoSpaceDE w:val="0"/>
        <w:autoSpaceDN w:val="0"/>
        <w:spacing w:before="243" w:after="0" w:line="276" w:lineRule="auto"/>
        <w:ind w:left="141" w:right="140" w:firstLine="70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Ovom Odlukom utvrđuju se mjerila za naplatu usluga Dječjeg vrtića „Vila </w:t>
      </w:r>
      <w:proofErr w:type="spellStart"/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Zvončica</w:t>
      </w:r>
      <w:proofErr w:type="spellEnd"/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“ (u daljnjem tekstu: Dječji vrtić), čiji je osnivač Općina Slavonski Šamac, od roditelja/skrbnika-korisnika </w:t>
      </w:r>
      <w:r w:rsidRPr="00A41282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usluga</w:t>
      </w:r>
      <w:r w:rsidRPr="00A4128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bCs/>
          <w:spacing w:val="-2"/>
          <w:kern w:val="0"/>
          <w:sz w:val="22"/>
          <w:szCs w:val="22"/>
          <w14:ligatures w14:val="none"/>
        </w:rPr>
        <w:t>za pedagošku godinu 2026./2027..</w:t>
      </w:r>
    </w:p>
    <w:p w:rsidR="00EF3637" w:rsidRPr="00A41282" w:rsidRDefault="00EF3637" w:rsidP="00EF3637">
      <w:pPr>
        <w:widowControl w:val="0"/>
        <w:autoSpaceDE w:val="0"/>
        <w:autoSpaceDN w:val="0"/>
        <w:spacing w:before="199" w:after="0" w:line="240" w:lineRule="auto"/>
        <w:ind w:left="1063" w:right="1064"/>
        <w:jc w:val="center"/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Članak</w:t>
      </w:r>
      <w:r w:rsidRPr="00A41282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2.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ind w:left="141" w:firstLine="70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Redoviti programi predškolskog odgoja ostvaruju se u petodnevnom radnom tjednu,</w:t>
      </w:r>
      <w:r w:rsidRPr="00A41282">
        <w:rPr>
          <w:rFonts w:ascii="Times New Roman" w:eastAsia="Times New Roman" w:hAnsi="Times New Roman" w:cs="Times New Roman"/>
          <w:spacing w:val="80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osim za vrijeme blagdana kao:</w:t>
      </w:r>
    </w:p>
    <w:p w:rsidR="00EF3637" w:rsidRPr="00A41282" w:rsidRDefault="00EF3637" w:rsidP="00EF3637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</w:t>
      </w:r>
      <w:r w:rsidRPr="00A41282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satni</w:t>
      </w:r>
      <w:r w:rsidRPr="00A41282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program</w:t>
      </w:r>
    </w:p>
    <w:p w:rsidR="00EF3637" w:rsidRPr="00A41282" w:rsidRDefault="00EF3637" w:rsidP="00EF3637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5-6 satni </w:t>
      </w:r>
      <w:r w:rsidRPr="00A41282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program (poludnevni boravak bez ručka i poludnevni boravak s ručkom)</w:t>
      </w:r>
    </w:p>
    <w:p w:rsidR="00EF3637" w:rsidRPr="00A41282" w:rsidRDefault="00EF3637" w:rsidP="00EF3637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left="1063" w:right="1064"/>
        <w:jc w:val="center"/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Članak</w:t>
      </w:r>
      <w:r w:rsidRPr="00A41282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3.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right="1064"/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Za obavljanje usluga programa iz članka 2. ove Odluke, ekonomska cijena programa izračunava se na osnovi ukupnih godišnjih rashoda i procijenjenog prosječnog broja korisnika usluga programa Dječjeg vrtića za kalendarsku godinu.  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Ukupni godišnji rashodi iz stavka 1. ovoga članka obuhvaćaju troškove smještaja djece utvrđene Državnim pedagoškim standardom predškolskog odgoja i naobrazbe i to:  </w:t>
      </w:r>
    </w:p>
    <w:p w:rsidR="00EF3637" w:rsidRPr="00A41282" w:rsidRDefault="00EF3637" w:rsidP="00EF363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Izdatke za zaposlenike: 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• bruto plaće;  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• naknade i materijalna prava radnika. 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2. Prehranu djece; 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3. Uvjete boravka djece: 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• materijalne izdatke; 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• energiju i komunalije;  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• tekuće održavanje objekta i opreme . 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4. Nabavu namještaja i opreme; 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5. Nabavu sitnog inventara.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Ekonomsku cijenu Dječjeg vrtića utvrđuje Upravno vijeće Dječjeg vrtića uz prethodnu suglasnost predstavničkog tijela Osnivača, a temeljem troškova iz prethodnog stavka.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before="84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Članak 4.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ind w:left="141" w:right="138" w:firstLine="70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ind w:left="141" w:right="138" w:firstLine="70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Roditelj djeteta korisnika usluga s prebivalištem na području Općine Slavonski Šamac dužan je sudjelovati u cijeni programa dječjih vrtića i jaslica koje ostvaruje njegovo dijete ovisno o vrsti i trajanju programa sukladno članku 5. ove Odluke.</w:t>
      </w:r>
    </w:p>
    <w:p w:rsidR="00EF3637" w:rsidRPr="00A41282" w:rsidRDefault="00EF3637" w:rsidP="00EF3637">
      <w:pPr>
        <w:widowControl w:val="0"/>
        <w:autoSpaceDE w:val="0"/>
        <w:autoSpaceDN w:val="0"/>
        <w:spacing w:before="72" w:after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Roditelj djeteta korisnika usluga</w:t>
      </w:r>
      <w:r w:rsidRPr="00A41282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koje nije s upisnog područja</w:t>
      </w:r>
      <w:r w:rsidRPr="00A41282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plaća</w:t>
      </w:r>
      <w:r w:rsidRPr="00A41282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punu ekonomsku cijenu programa.</w:t>
      </w:r>
    </w:p>
    <w:p w:rsidR="00EF3637" w:rsidRPr="00A41282" w:rsidRDefault="00EF3637" w:rsidP="00EF3637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before="1" w:after="0" w:line="240" w:lineRule="auto"/>
        <w:ind w:left="1063" w:right="1063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Članak</w:t>
      </w:r>
      <w:r w:rsidRPr="00A41282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41282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5.</w:t>
      </w:r>
    </w:p>
    <w:p w:rsidR="00EF3637" w:rsidRPr="00A41282" w:rsidRDefault="00EF3637" w:rsidP="00EF3637">
      <w:pPr>
        <w:widowControl w:val="0"/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ind w:left="141" w:firstLine="70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Roditelji djeteta korisnika usluga iz članka 4. stavak 1. sudjeluju u cijeni programa ovisno o vrsti i trajanju programa dječjih vrtića i jaslica, kako slijedi: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ind w:left="141" w:firstLine="70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TableNormal"/>
        <w:tblW w:w="9290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537"/>
        <w:gridCol w:w="3509"/>
      </w:tblGrid>
      <w:tr w:rsidR="00EF3637" w:rsidRPr="00A41282" w:rsidTr="00A166CC">
        <w:trPr>
          <w:trHeight w:val="275"/>
        </w:trPr>
        <w:tc>
          <w:tcPr>
            <w:tcW w:w="1244" w:type="dxa"/>
          </w:tcPr>
          <w:p w:rsidR="00EF3637" w:rsidRPr="00A41282" w:rsidRDefault="00EF3637" w:rsidP="00A166CC">
            <w:pPr>
              <w:spacing w:line="256" w:lineRule="exact"/>
              <w:ind w:left="7" w:right="1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A41282"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537" w:type="dxa"/>
          </w:tcPr>
          <w:p w:rsidR="00EF3637" w:rsidRPr="00A41282" w:rsidRDefault="00EF3637" w:rsidP="00A166CC">
            <w:pPr>
              <w:spacing w:line="256" w:lineRule="exact"/>
              <w:ind w:left="1249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VRSTA </w:t>
            </w:r>
            <w:r w:rsidRPr="00A41282"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</w:rPr>
              <w:t>PROGRAMA</w:t>
            </w:r>
          </w:p>
        </w:tc>
        <w:tc>
          <w:tcPr>
            <w:tcW w:w="3509" w:type="dxa"/>
          </w:tcPr>
          <w:p w:rsidR="00EF3637" w:rsidRPr="00A41282" w:rsidRDefault="00EF3637" w:rsidP="00A166CC">
            <w:pPr>
              <w:spacing w:line="256" w:lineRule="exact"/>
              <w:ind w:left="15" w:right="1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Iznos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sudjelovanja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(u</w:t>
            </w:r>
            <w:r w:rsidRPr="00A41282"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</w:rPr>
              <w:t>eurima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)</w:t>
            </w:r>
          </w:p>
        </w:tc>
      </w:tr>
      <w:tr w:rsidR="00EF3637" w:rsidRPr="00A41282" w:rsidTr="00A166CC">
        <w:trPr>
          <w:trHeight w:val="554"/>
        </w:trPr>
        <w:tc>
          <w:tcPr>
            <w:tcW w:w="1244" w:type="dxa"/>
          </w:tcPr>
          <w:p w:rsidR="00EF3637" w:rsidRPr="00A41282" w:rsidRDefault="00EF3637" w:rsidP="00A166CC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1.</w:t>
            </w:r>
          </w:p>
        </w:tc>
        <w:tc>
          <w:tcPr>
            <w:tcW w:w="4537" w:type="dxa"/>
          </w:tcPr>
          <w:p w:rsidR="00EF3637" w:rsidRPr="00A41282" w:rsidRDefault="00EF3637" w:rsidP="00A166C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10-satni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redoviti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program</w:t>
            </w:r>
            <w:r w:rsidRPr="00A41282"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</w:rPr>
              <w:t xml:space="preserve"> </w:t>
            </w:r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–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</w:rPr>
              <w:t>jaslice</w:t>
            </w:r>
            <w:proofErr w:type="spellEnd"/>
          </w:p>
        </w:tc>
        <w:tc>
          <w:tcPr>
            <w:tcW w:w="3509" w:type="dxa"/>
          </w:tcPr>
          <w:p w:rsidR="00EF3637" w:rsidRPr="00A41282" w:rsidRDefault="00EF3637" w:rsidP="00A166CC">
            <w:pPr>
              <w:spacing w:line="270" w:lineRule="exact"/>
              <w:ind w:left="1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150,00</w:t>
            </w:r>
          </w:p>
        </w:tc>
      </w:tr>
      <w:tr w:rsidR="00EF3637" w:rsidRPr="00A41282" w:rsidTr="00A166CC">
        <w:trPr>
          <w:trHeight w:val="551"/>
        </w:trPr>
        <w:tc>
          <w:tcPr>
            <w:tcW w:w="1244" w:type="dxa"/>
          </w:tcPr>
          <w:p w:rsidR="00EF3637" w:rsidRPr="00A41282" w:rsidRDefault="00EF3637" w:rsidP="00A166CC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2.</w:t>
            </w:r>
          </w:p>
        </w:tc>
        <w:tc>
          <w:tcPr>
            <w:tcW w:w="4537" w:type="dxa"/>
          </w:tcPr>
          <w:p w:rsidR="00EF3637" w:rsidRPr="00A41282" w:rsidRDefault="00EF3637" w:rsidP="00A166C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10-satni</w:t>
            </w:r>
            <w:r w:rsidRPr="00A41282"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redoviti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program-</w:t>
            </w:r>
            <w:r w:rsidRPr="00A41282"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</w:rPr>
              <w:t>vrtić</w:t>
            </w:r>
            <w:proofErr w:type="spellEnd"/>
          </w:p>
        </w:tc>
        <w:tc>
          <w:tcPr>
            <w:tcW w:w="3509" w:type="dxa"/>
          </w:tcPr>
          <w:p w:rsidR="00EF3637" w:rsidRPr="00A41282" w:rsidRDefault="00EF3637" w:rsidP="00A166CC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150,00</w:t>
            </w:r>
          </w:p>
        </w:tc>
      </w:tr>
      <w:tr w:rsidR="00EF3637" w:rsidRPr="00A41282" w:rsidTr="00A166CC">
        <w:trPr>
          <w:trHeight w:val="551"/>
        </w:trPr>
        <w:tc>
          <w:tcPr>
            <w:tcW w:w="1244" w:type="dxa"/>
          </w:tcPr>
          <w:p w:rsidR="00EF3637" w:rsidRPr="00A41282" w:rsidRDefault="00EF3637" w:rsidP="00A166CC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3.</w:t>
            </w:r>
          </w:p>
        </w:tc>
        <w:tc>
          <w:tcPr>
            <w:tcW w:w="4537" w:type="dxa"/>
          </w:tcPr>
          <w:p w:rsidR="00EF3637" w:rsidRPr="00A41282" w:rsidRDefault="00EF3637" w:rsidP="00A166C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5-6-satni</w:t>
            </w:r>
            <w:r w:rsidRPr="00A41282"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redoviti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program s</w:t>
            </w:r>
            <w:r w:rsidRPr="00A41282"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</w:rPr>
              <w:t>ručkom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–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</w:rPr>
              <w:t>vrtić</w:t>
            </w:r>
            <w:proofErr w:type="spellEnd"/>
          </w:p>
        </w:tc>
        <w:tc>
          <w:tcPr>
            <w:tcW w:w="3509" w:type="dxa"/>
          </w:tcPr>
          <w:p w:rsidR="00EF3637" w:rsidRPr="00A41282" w:rsidRDefault="00EF3637" w:rsidP="00A166CC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150,00</w:t>
            </w:r>
          </w:p>
        </w:tc>
      </w:tr>
      <w:tr w:rsidR="00EF3637" w:rsidRPr="00A41282" w:rsidTr="00A166CC">
        <w:trPr>
          <w:trHeight w:val="551"/>
        </w:trPr>
        <w:tc>
          <w:tcPr>
            <w:tcW w:w="1244" w:type="dxa"/>
          </w:tcPr>
          <w:p w:rsidR="00EF3637" w:rsidRPr="00A41282" w:rsidRDefault="00EF3637" w:rsidP="00A166CC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4.</w:t>
            </w:r>
          </w:p>
        </w:tc>
        <w:tc>
          <w:tcPr>
            <w:tcW w:w="4537" w:type="dxa"/>
          </w:tcPr>
          <w:p w:rsidR="00EF3637" w:rsidRPr="00A41282" w:rsidRDefault="00EF3637" w:rsidP="00A166C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5-6-satni</w:t>
            </w:r>
            <w:r w:rsidRPr="00A41282">
              <w:rPr>
                <w:rFonts w:ascii="Times New Roman" w:eastAsia="Times New Roman" w:hAnsi="Times New Roman" w:cs="Times New Roman"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redoviti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program bez</w:t>
            </w:r>
            <w:r w:rsidRPr="00A41282"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i/>
                <w:spacing w:val="-2"/>
                <w:sz w:val="22"/>
                <w:szCs w:val="22"/>
              </w:rPr>
              <w:t>ručka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–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i/>
                <w:spacing w:val="-4"/>
                <w:sz w:val="22"/>
                <w:szCs w:val="22"/>
              </w:rPr>
              <w:t>vrtić</w:t>
            </w:r>
            <w:proofErr w:type="spellEnd"/>
          </w:p>
        </w:tc>
        <w:tc>
          <w:tcPr>
            <w:tcW w:w="3509" w:type="dxa"/>
          </w:tcPr>
          <w:p w:rsidR="00EF3637" w:rsidRPr="00A41282" w:rsidRDefault="00EF3637" w:rsidP="00A166CC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150,00</w:t>
            </w:r>
          </w:p>
        </w:tc>
      </w:tr>
      <w:tr w:rsidR="00EF3637" w:rsidRPr="00A41282" w:rsidTr="00A166CC">
        <w:trPr>
          <w:trHeight w:val="551"/>
        </w:trPr>
        <w:tc>
          <w:tcPr>
            <w:tcW w:w="1244" w:type="dxa"/>
          </w:tcPr>
          <w:p w:rsidR="00EF3637" w:rsidRPr="00A41282" w:rsidRDefault="00EF3637" w:rsidP="00A166CC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5. </w:t>
            </w:r>
          </w:p>
        </w:tc>
        <w:tc>
          <w:tcPr>
            <w:tcW w:w="4537" w:type="dxa"/>
          </w:tcPr>
          <w:p w:rsidR="00EF3637" w:rsidRPr="00A41282" w:rsidRDefault="00EF3637" w:rsidP="00A166C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hr-HR"/>
              </w:rPr>
              <w:t>5-6-satni redoviti program s ručkom– jaslice</w:t>
            </w:r>
          </w:p>
        </w:tc>
        <w:tc>
          <w:tcPr>
            <w:tcW w:w="3509" w:type="dxa"/>
          </w:tcPr>
          <w:p w:rsidR="00EF3637" w:rsidRPr="00A41282" w:rsidRDefault="00EF3637" w:rsidP="00A166CC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150,00</w:t>
            </w:r>
          </w:p>
        </w:tc>
      </w:tr>
      <w:tr w:rsidR="00EF3637" w:rsidRPr="00A41282" w:rsidTr="00A166CC">
        <w:trPr>
          <w:trHeight w:val="551"/>
        </w:trPr>
        <w:tc>
          <w:tcPr>
            <w:tcW w:w="1244" w:type="dxa"/>
          </w:tcPr>
          <w:p w:rsidR="00EF3637" w:rsidRPr="00A41282" w:rsidRDefault="00EF3637" w:rsidP="00A166CC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6.</w:t>
            </w:r>
          </w:p>
        </w:tc>
        <w:tc>
          <w:tcPr>
            <w:tcW w:w="4537" w:type="dxa"/>
          </w:tcPr>
          <w:p w:rsidR="00EF3637" w:rsidRPr="00A41282" w:rsidRDefault="00EF3637" w:rsidP="00A166C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hr-HR"/>
              </w:rPr>
              <w:t>5-6-satni redoviti program bez ručka– jaslice</w:t>
            </w:r>
          </w:p>
        </w:tc>
        <w:tc>
          <w:tcPr>
            <w:tcW w:w="3509" w:type="dxa"/>
          </w:tcPr>
          <w:p w:rsidR="00EF3637" w:rsidRPr="00A41282" w:rsidRDefault="00EF3637" w:rsidP="00A166CC">
            <w:pPr>
              <w:spacing w:line="268" w:lineRule="exact"/>
              <w:ind w:left="15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150,00</w:t>
            </w:r>
          </w:p>
        </w:tc>
      </w:tr>
    </w:tbl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 korisnike usluga iz stavka 1. ovog članka preostali iznos do pune ekonomske cijene osigurava Osnivač iz sredstava fiskalne održivosti i iz vlastitog proračuna.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Članak 6.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ind w:left="141" w:firstLine="70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left="141" w:firstLine="70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Mjesečno sudjelovanje roditelja s prebivalištem na području Općine Slavonski Šamac u punoj mjesečnoj cijeni usluga Dječjeg vrtića umanjuje se prema sljedećim mjerilima: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left="141" w:firstLine="70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5802"/>
        <w:gridCol w:w="2348"/>
      </w:tblGrid>
      <w:tr w:rsidR="00EF3637" w:rsidRPr="00A41282" w:rsidTr="00A166CC">
        <w:trPr>
          <w:trHeight w:val="952"/>
        </w:trPr>
        <w:tc>
          <w:tcPr>
            <w:tcW w:w="1060" w:type="dxa"/>
          </w:tcPr>
          <w:p w:rsidR="00EF3637" w:rsidRPr="00A41282" w:rsidRDefault="00EF3637" w:rsidP="00A166CC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Redni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5802" w:type="dxa"/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Osnova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za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umanjenje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mjesečne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cijene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usluge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Dječjeg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vrtića</w:t>
            </w:r>
            <w:proofErr w:type="spellEnd"/>
          </w:p>
        </w:tc>
        <w:tc>
          <w:tcPr>
            <w:tcW w:w="2348" w:type="dxa"/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Postotak</w:t>
            </w:r>
            <w:proofErr w:type="spellEnd"/>
          </w:p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umanjenja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cijene</w:t>
            </w:r>
            <w:proofErr w:type="spellEnd"/>
          </w:p>
        </w:tc>
      </w:tr>
      <w:tr w:rsidR="00EF3637" w:rsidRPr="00A41282" w:rsidTr="00A166CC">
        <w:trPr>
          <w:trHeight w:val="316"/>
        </w:trPr>
        <w:tc>
          <w:tcPr>
            <w:tcW w:w="1060" w:type="dxa"/>
            <w:vMerge w:val="restart"/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02" w:type="dxa"/>
            <w:tcBorders>
              <w:bottom w:val="dotted" w:sz="4" w:space="0" w:color="000000"/>
            </w:tcBorders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roditelj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koji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ima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više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djece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vrtiću</w:t>
            </w:r>
            <w:proofErr w:type="spellEnd"/>
          </w:p>
        </w:tc>
        <w:tc>
          <w:tcPr>
            <w:tcW w:w="2348" w:type="dxa"/>
            <w:tcBorders>
              <w:bottom w:val="dotted" w:sz="4" w:space="0" w:color="000000"/>
            </w:tcBorders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637" w:rsidRPr="00A41282" w:rsidTr="00A166CC">
        <w:trPr>
          <w:trHeight w:val="323"/>
        </w:trPr>
        <w:tc>
          <w:tcPr>
            <w:tcW w:w="1060" w:type="dxa"/>
            <w:vMerge/>
            <w:tcBorders>
              <w:top w:val="nil"/>
            </w:tcBorders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2" w:type="dxa"/>
            <w:tcBorders>
              <w:top w:val="dotted" w:sz="4" w:space="0" w:color="000000"/>
              <w:bottom w:val="dotted" w:sz="4" w:space="0" w:color="000000"/>
            </w:tcBorders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 xml:space="preserve">za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drugo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dijete</w:t>
            </w:r>
            <w:proofErr w:type="spellEnd"/>
          </w:p>
        </w:tc>
        <w:tc>
          <w:tcPr>
            <w:tcW w:w="2348" w:type="dxa"/>
            <w:tcBorders>
              <w:top w:val="dotted" w:sz="4" w:space="0" w:color="000000"/>
              <w:bottom w:val="dotted" w:sz="4" w:space="0" w:color="000000"/>
            </w:tcBorders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-20%</w:t>
            </w:r>
          </w:p>
        </w:tc>
      </w:tr>
      <w:tr w:rsidR="00EF3637" w:rsidRPr="00A41282" w:rsidTr="00A166CC">
        <w:trPr>
          <w:trHeight w:val="321"/>
        </w:trPr>
        <w:tc>
          <w:tcPr>
            <w:tcW w:w="1060" w:type="dxa"/>
            <w:vMerge/>
            <w:tcBorders>
              <w:top w:val="nil"/>
            </w:tcBorders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2" w:type="dxa"/>
            <w:tcBorders>
              <w:top w:val="dotted" w:sz="4" w:space="0" w:color="000000"/>
            </w:tcBorders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 xml:space="preserve">za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treće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više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djece</w:t>
            </w:r>
            <w:proofErr w:type="spellEnd"/>
          </w:p>
        </w:tc>
        <w:tc>
          <w:tcPr>
            <w:tcW w:w="2348" w:type="dxa"/>
            <w:tcBorders>
              <w:top w:val="dotted" w:sz="4" w:space="0" w:color="000000"/>
            </w:tcBorders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-30% za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treće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dijete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40% za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četvrto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a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svako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sljedeće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plus 10%</w:t>
            </w:r>
          </w:p>
        </w:tc>
      </w:tr>
      <w:tr w:rsidR="00EF3637" w:rsidRPr="00A41282" w:rsidTr="00A166CC">
        <w:trPr>
          <w:trHeight w:val="1905"/>
        </w:trPr>
        <w:tc>
          <w:tcPr>
            <w:tcW w:w="1060" w:type="dxa"/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02" w:type="dxa"/>
          </w:tcPr>
          <w:p w:rsidR="00EF3637" w:rsidRPr="00A41282" w:rsidRDefault="00EF3637" w:rsidP="00A166CC">
            <w:pPr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roditelj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za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dijete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teškoćama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razvoju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invaliditetom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odgojno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obrazovnoj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skupini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redovitim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programom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temeljem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nalaza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mišljenja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Zavoda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za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vještačenje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profesionalnu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rehabilitaciju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zapošljavanje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osoba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invaliditetom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ili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rješenje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HZZO - a o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dopustu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roditelja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radi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njege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djeteta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odnosi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isključivo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na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teža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oštećenja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autizam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invalidnost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dr.)</w:t>
            </w:r>
          </w:p>
        </w:tc>
        <w:tc>
          <w:tcPr>
            <w:tcW w:w="2348" w:type="dxa"/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-30%</w:t>
            </w:r>
          </w:p>
        </w:tc>
      </w:tr>
      <w:tr w:rsidR="00EF3637" w:rsidRPr="00A41282" w:rsidTr="00A166CC">
        <w:trPr>
          <w:trHeight w:val="950"/>
        </w:trPr>
        <w:tc>
          <w:tcPr>
            <w:tcW w:w="1060" w:type="dxa"/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5802" w:type="dxa"/>
          </w:tcPr>
          <w:p w:rsidR="00EF3637" w:rsidRPr="00A41282" w:rsidRDefault="00EF3637" w:rsidP="00A166CC">
            <w:pPr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roditelju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koji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je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prijavio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nekorištenje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vrtića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trajanju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od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mjesec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dana u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kontinuitetu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jednom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tijekom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pedagoške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2348" w:type="dxa"/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-50%</w:t>
            </w:r>
          </w:p>
        </w:tc>
      </w:tr>
      <w:tr w:rsidR="00EF3637" w:rsidRPr="00A41282" w:rsidTr="00A166CC">
        <w:trPr>
          <w:trHeight w:val="950"/>
        </w:trPr>
        <w:tc>
          <w:tcPr>
            <w:tcW w:w="1060" w:type="dxa"/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802" w:type="dxa"/>
          </w:tcPr>
          <w:p w:rsidR="00EF3637" w:rsidRPr="00A41282" w:rsidRDefault="00EF3637" w:rsidP="00A166CC">
            <w:pPr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Roditelju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koji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je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prijavio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nekorištenje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vrtića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trajanju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od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mjesec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dana u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kontinuitetu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zbog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bolesti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djeteta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uz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priloženu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liječničku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dokumentaciju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kojom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dokazuje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bolest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moguće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koristiti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najviše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dva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puta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tijekom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pedagoške</w:t>
            </w:r>
            <w:proofErr w:type="spellEnd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2348" w:type="dxa"/>
          </w:tcPr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F3637" w:rsidRPr="00A41282" w:rsidRDefault="00EF3637" w:rsidP="00A166CC">
            <w:pPr>
              <w:spacing w:line="276" w:lineRule="auto"/>
              <w:ind w:left="141" w:firstLine="70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1282">
              <w:rPr>
                <w:rFonts w:ascii="Times New Roman" w:eastAsia="Times New Roman" w:hAnsi="Times New Roman" w:cs="Times New Roman"/>
                <w:sz w:val="22"/>
                <w:szCs w:val="22"/>
              </w:rPr>
              <w:t>- 50%</w:t>
            </w:r>
          </w:p>
        </w:tc>
      </w:tr>
    </w:tbl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Članak 7.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ind w:left="141" w:firstLine="70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Roditelj djeteta korisnika usluga Dječjeg vrtića dužan je sudjelovanje u cijeni programa dječjeg vrtića uplatiti na žiro-račun Dječjeg vrtića najkasnije do 15-tog idućeg mjeseca.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Članak 8.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ind w:left="141" w:firstLine="70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Roditelj je dužan obavijestiti dječji vrtić o prekidu korištenja usluga najkasnije trideset dana prije prekida i to pisanim putem u protivnom je dužan podmiriti ispostavljene račune bez obzira na neprisutnost djeteta u vrtiću.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Članak 9.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ind w:left="141" w:firstLine="70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ind w:left="141" w:firstLine="70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Dječji vrtić u skladu s odredbama ove Odluke, s roditeljima zaključuje Ugovor u kojem se definiraju prava i obveze ugovornih strana, a naročito mjesečni iznos cijene usluge i rokovi plaćanja, prava i obveze ugovornih strana u slučaju nepridržavanja odredbi Ugovora.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Članak 10.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ind w:left="141" w:firstLine="70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Ova Odluka stupa na snagu osam dana od objave u „Službenom glasniku Općine Slavonski Šamac“.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ind w:left="141" w:firstLine="70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KLASA : 601-01/26-01/1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URBROJ : 2178-9-02-26-1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Slavonski Šamac, 15. lipnja 2026.</w:t>
      </w: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OPĆINSKO VIJEĆE </w:t>
      </w: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OPĆINE SLAVONSKI ŠAMAC</w:t>
      </w:r>
    </w:p>
    <w:p w:rsidR="00EF3637" w:rsidRDefault="00EF3637" w:rsidP="00EF363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A41282" w:rsidRDefault="00A41282" w:rsidP="00EF363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A41282" w:rsidRPr="00A41282" w:rsidRDefault="00A41282" w:rsidP="00EF363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F3637" w:rsidRPr="00A41282" w:rsidRDefault="00EF3637" w:rsidP="00EF3637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PREDSJEDNIK OPĆINSKOG VIJEĆA</w:t>
      </w:r>
      <w:r w:rsidRPr="00A412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 xml:space="preserve">Marko Ćosić, dipl. ing. </w:t>
      </w:r>
    </w:p>
    <w:p w:rsidR="00A6548B" w:rsidRPr="00A41282" w:rsidRDefault="00A6548B">
      <w:pPr>
        <w:rPr>
          <w:rFonts w:ascii="Times New Roman" w:hAnsi="Times New Roman" w:cs="Times New Roman"/>
          <w:sz w:val="22"/>
          <w:szCs w:val="22"/>
        </w:rPr>
      </w:pPr>
    </w:p>
    <w:sectPr w:rsidR="00A6548B" w:rsidRPr="00A4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15551"/>
    <w:multiLevelType w:val="hybridMultilevel"/>
    <w:tmpl w:val="A5205B44"/>
    <w:lvl w:ilvl="0" w:tplc="AB127A6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CE074A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245433FA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4BD0BA00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4A74AC50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E90C1CF8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A4C0EEF6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0996FC66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86E2FAC8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68FA1137"/>
    <w:multiLevelType w:val="hybridMultilevel"/>
    <w:tmpl w:val="65200584"/>
    <w:lvl w:ilvl="0" w:tplc="8CA87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37"/>
    <w:rsid w:val="0079719A"/>
    <w:rsid w:val="00A41282"/>
    <w:rsid w:val="00A6548B"/>
    <w:rsid w:val="00E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850E9-7D1D-400C-B37F-8025DD9B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63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36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2026-06-24T06:31:00Z</dcterms:created>
  <dcterms:modified xsi:type="dcterms:W3CDTF">2026-06-24T06:31:00Z</dcterms:modified>
</cp:coreProperties>
</file>