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906f173024ac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37293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SLAVONSKI ŠAMAC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1.430.112,50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1.728.074,79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1.089.753,18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1.004.699,56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340.359,32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723.375,23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6.843,09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451.518,24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874.576,69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444.675,15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874.509,92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169.401,77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20.216,60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169.401,77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18.267,08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Slavonski Šamac je u izvještajnom razdoblju ostvarila, višak prihoda poslovanja u iznosu od 723.375,23 eura, manjak prihoda od nefinancijske imovine, te višak prihoda od financijske imovine. Na dan 31.12. ukupno je ostvaren višak prihoda i primitaka u iznosu od 18.267,08 eura koji je rezultat sučeljavanja navedenih viškova i manjkova. Razina 22 i23  su identične jer općina nema proračunskih korisnika za konsolidaciju.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1.430.112,50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1.728.074,79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r>
        <w:t xml:space="preserve">Povećanje ukupnih prihoda poslovanja u odnosu na prethodnu godinu, zbog prihoda od uplaćenih EU pomoći, izvršenje 1.728.074,79 eura. Indeks 120,8.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577.646,67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54.634,39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9,5</w:t>
            </w:r>
          </w:p>
        </w:tc>
      </w:tr>
    </w:tbl>
    <w:p>
      <w:pPr>
        <w:spacing w:before="0" w:after="0"/>
      </w:pPr>
    </w:p>
    <w:p>
      <w:r>
        <w:t xml:space="preserve">Tekuće pomoći, evidentirano smanjenje, jer je pomoć fiskalnog izravnanja un 2025.g. evidentirana na drugoj skupini konta, izvršenje 2025.g. na 6331:</w:t>
      </w:r>
    </w:p>
    <w:p>
      <w:r>
        <w:t xml:space="preserve">Ministarstvo poljoprivrede-za stambeno zbrinjavanje mladih-3.981,68 eura</w:t>
      </w:r>
    </w:p>
    <w:p>
      <w:r>
        <w:t xml:space="preserve">Ministarstvo poljoprivrede-za naknade štete -suša-949,14 eura</w:t>
      </w:r>
    </w:p>
    <w:p>
      <w:r>
        <w:t xml:space="preserve">MRRFEU- za manifestaciju Paprikašijada-1.500,00 eura</w:t>
      </w:r>
    </w:p>
    <w:p>
      <w:r>
        <w:t xml:space="preserve">Brodsko posavska županija- sufinanciranje lokalnih izbora-9.353,46 eura</w:t>
      </w:r>
    </w:p>
    <w:p>
      <w:r>
        <w:t xml:space="preserve">Brodsko posavska županija- za izmještanje dalekovoda-38.850,11  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164.504,96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r>
        <w:t xml:space="preserve">Povećanje u odnosu na prethodnu  godinu, indeks 139,4.</w:t>
      </w:r>
    </w:p>
    <w:p>
      <w:r>
        <w:t xml:space="preserve">Kapitalne pomoći u iznosu od 164.504,96 eura sadrže:</w:t>
      </w:r>
    </w:p>
    <w:p>
      <w:r>
        <w:t xml:space="preserve">Ministarstvo prostornog uređenja-41.800,00 eura-za staze</w:t>
      </w:r>
    </w:p>
    <w:p>
      <w:r>
        <w:t xml:space="preserve">Ministarstvo regionalnog razvoja-47.000,00 eura-za staze</w:t>
      </w:r>
    </w:p>
    <w:p>
      <w:r>
        <w:t xml:space="preserve">Ministarstvo demografije-za opremanje dječjeg igrališta-49.704,96 eura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424.772,04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Evidentirana sredstva pomoći fiskalnog izravnanja, 424.772,04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338.575,07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Kapitalne pomoći-sredstva EU- sredstva NPOO za rekonstrukciju građevine koja je namijenjena za vrtić, izvršenje 338.575,07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17.389,35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stavka sadrži isplaćene naknade za rad biračkih odbora i povjerenstava na lokalnim izborima u 2025.g., izvršenje 17.389,35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5.697,47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8.116,22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142,5</w:t>
            </w:r>
          </w:p>
        </w:tc>
      </w:tr>
    </w:tbl>
    <w:p>
      <w:pPr>
        <w:spacing w:before="0" w:after="0"/>
      </w:pPr>
    </w:p>
    <w:p>
      <w:r>
        <w:t xml:space="preserve">Veće izvršenje ovih rashoda u odnosu na prethodnu godinu, a radi povećanih izdataka za bankarske usluge i kamate za primljeni kredit, izvršenje 8.116,22, indeks 142,5.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</w:t>
            </w:r>
          </w:p>
        </w:tc>
      </w:tr>
    </w:tbl>
    <w:p>
      <w:pPr>
        <w:spacing w:before="0" w:after="0"/>
      </w:pPr>
    </w:p>
    <w:p>
      <w:r>
        <w:t xml:space="preserve">Povećanje iznosa za izdvajanje sredstava novim poduzetnicima sa područja općine, izvršenje 6.000,00 eura, indeks 300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631,2</w:t>
            </w:r>
          </w:p>
        </w:tc>
      </w:tr>
    </w:tbl>
    <w:p>
      <w:pPr>
        <w:spacing w:before="0" w:after="0"/>
      </w:pPr>
    </w:p>
    <w:p>
      <w:r>
        <w:t xml:space="preserve">Evidentirano izdvajanje sredstava Osnovnoj školi sa područje općine za obilježavanje obljetnice i osnutka.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23.577,53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31.760,11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134,7</w:t>
            </w:r>
          </w:p>
        </w:tc>
      </w:tr>
    </w:tbl>
    <w:p>
      <w:pPr>
        <w:spacing w:before="0" w:after="0"/>
      </w:pPr>
    </w:p>
    <w:p>
      <w:r>
        <w:t xml:space="preserve">Ova stavka bilježi povećanje radi većih izdataka za financiranje rada igraonice i sufinanciranje vrtića za korisnike vrtičkih ustanova, izvršenje 31.760,11 eura, indeks 134,7.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108.276,03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bilježimo manjak prihoda poslovanja u odnosu na prethodnu godinu. Ostvarenje -108.276,03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241.632,21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531.067,68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219,8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U odnosu na prethodnu, u ovoj godini je pojačano izvršenje projekta izgradnje dječjeg vrtića na ovoj stavci. Izvršenje 531.067,68 eura, indeks 2198.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48.744,80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180.091,25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369,5</w:t>
            </w:r>
          </w:p>
        </w:tc>
      </w:tr>
    </w:tbl>
    <w:p>
      <w:pPr>
        <w:spacing w:before="0" w:after="0"/>
      </w:pPr>
    </w:p>
    <w:p>
      <w:r>
        <w:t xml:space="preserve">Na ovoj stavci bilježimo povećanje, radi povećanog opsega kod izgradnje staza na području općine, izvršenje 180.091,25 eura , indeks 369,5.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22.396,82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65.035,29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290,4</w:t>
            </w:r>
          </w:p>
        </w:tc>
      </w:tr>
    </w:tbl>
    <w:p>
      <w:pPr>
        <w:spacing w:before="0" w:after="0"/>
      </w:pPr>
    </w:p>
    <w:p>
      <w:r>
        <w:t xml:space="preserve">Povećanje ove stavke bilježi se radi izgradnje dječjih igrališta i  izgradnje javne rasvjete. Izvršenje 65.035,269  eura, indeks 290,4.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44.617,30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30.821,56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69,1</w:t>
            </w:r>
          </w:p>
        </w:tc>
      </w:tr>
    </w:tbl>
    <w:p>
      <w:pPr>
        <w:spacing w:before="0" w:after="0"/>
      </w:pPr>
    </w:p>
    <w:p>
      <w:r>
        <w:t xml:space="preserve">U odnosu na prethodnu godinu, općina je ove godine ostvarila u iznosu od 30.821,56 eura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4.646.769,67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5.577.489,27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Kod imovine, povećanje ukupne vrijednosti, radi ulaganja i izgradnju objekata komunalne infrastrukture u 2025. te radi aktiviranja objekata u pripremi u objektu u uporabi. Stanje 31.12. iznosi 5.577,489,27, indeks 120,0.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936.403,80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1.189.730,36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r>
        <w:t xml:space="preserve">Povećanje stavke odnosi se aktiviranje završenih izgrađenih cesta i staza sa pripreme u uporabu,  stanje  31.12.2025 iznosi 1.189.730,36 eura, indeks 127,1.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859.077,43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1.528.986,01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178,0</w:t>
            </w:r>
          </w:p>
        </w:tc>
      </w:tr>
    </w:tbl>
    <w:p>
      <w:pPr>
        <w:spacing w:before="0" w:after="0"/>
      </w:pPr>
    </w:p>
    <w:p>
      <w:r>
        <w:t xml:space="preserve">Povećanje stavke odnosi se aktiviranje završenih ostalih građevinskih objekata sa pripreme u uporabu,  stanje  31.12.2025 iznosi 11.528,986,01 eura, indeks 178,0.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1.238.563,85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882.844,72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71,3</w:t>
            </w:r>
          </w:p>
        </w:tc>
      </w:tr>
    </w:tbl>
    <w:p>
      <w:pPr>
        <w:spacing w:before="0" w:after="0"/>
      </w:pPr>
    </w:p>
    <w:p>
      <w:r>
        <w:t xml:space="preserve">Smanjenje na ovoj stavci,, indeks 71,3, radi aktiviranja pojedinih objekta u pripremi na objekte u uporabi, stanje 31.12. je 882.844,72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265.960,98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Sadrži stanje potraživanja  po ZNS ovima za vrtić  i projekt Zaželi. Stanje na dan 31.12. je 265.960,98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64.476,74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1174,3</w:t>
            </w:r>
          </w:p>
        </w:tc>
      </w:tr>
    </w:tbl>
    <w:p>
      <w:pPr>
        <w:spacing w:before="0" w:after="0"/>
      </w:pPr>
    </w:p>
    <w:p>
      <w:r>
        <w:t xml:space="preserve">Ispravak vrijednosti napravljen je na svim stavkama kojima je dospjelost veća od 2 godine, osim na stavkama poreznih prihoda ( Porezna uprava) koji su općini dostavljeni prema starom Pravilniku, za čega postoji očitovanje Porezne uprave. Stanje 31.12. iznosi  64.476,74.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4.646.769,67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5.577.489,27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Stanje obveza i izvora vlasništva  jednako je stanju imovine i na dan 31.12. iznosi 5.577.489,27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- tuzemne (šifre 2622+2623+2624+2631+2643+2644+2645+2653+2654+2671+2672+2673+2674+2675+2676+2677)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26X1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169.401,77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Stavka u iznosu 169.401,77 eura odnosi se na stanje glavnice kratkoročnog kredita kod matične banke u iznosu od 169.401,77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476,7</w:t>
            </w:r>
          </w:p>
        </w:tc>
      </w:tr>
    </w:tbl>
    <w:p>
      <w:pPr>
        <w:spacing w:before="0" w:after="0"/>
      </w:pPr>
    </w:p>
    <w:p>
      <w:r>
        <w:t xml:space="preserve">Ova stavka sadrži uplaćena jamstva  po natječaju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1.258.102,69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3.901.052,71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310,1</w:t>
            </w:r>
          </w:p>
        </w:tc>
      </w:tr>
    </w:tbl>
    <w:p>
      <w:pPr>
        <w:spacing w:before="0" w:after="0"/>
      </w:pPr>
    </w:p>
    <w:p>
      <w:r>
        <w:t xml:space="preserve">Izvanbilančni zapisi sadrže stavke konta 996-aktiva/pasiva, dana i primljena jamstva i  stanje ugovorenih sredstava o bespovratnim sredstvima za EU projekte, na dan 31.12.2025. iznosi 3.901.052,71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osiguranja plaćanja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1.258.102,69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2.552.895,32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202,9</w:t>
            </w:r>
          </w:p>
        </w:tc>
      </w:tr>
    </w:tbl>
    <w:p>
      <w:pPr>
        <w:spacing w:before="0" w:after="0"/>
      </w:pPr>
    </w:p>
    <w:p>
      <w:r>
        <w:t xml:space="preserve">Ova stavka daje nam stanje danih /primljenih sredstava osiguranja plaćanja, zadužnica, na dan 31.12. iznosi 2.552.895,32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Izvršna i zakonodavna tijela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312.293,58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350.988,76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Ova funkcija sadrža sve rashode koji su odnose na izvršnih tijela općine, jedinstvenog upravnog odjela i općinskog vijeća. (plaće, ostale rashode za zaposlene, materijalne i ostale rashode, ostvareno 350.988,76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33.382,09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617.338,38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1849,3</w:t>
            </w:r>
          </w:p>
        </w:tc>
      </w:tr>
    </w:tbl>
    <w:p>
      <w:pPr>
        <w:spacing w:before="0" w:after="0"/>
      </w:pPr>
    </w:p>
    <w:p>
      <w:r>
        <w:t xml:space="preserve">Povećanje ove skupine u odnosu na prethodnu godinu radi izgradnje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Socijalna pomoć stanovništvu koje nije obuhvaćeno redovnim socijalnim programima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8.198,86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518,6</w:t>
            </w:r>
          </w:p>
        </w:tc>
      </w:tr>
    </w:tbl>
    <w:p>
      <w:pPr>
        <w:spacing w:before="0" w:after="0"/>
      </w:pPr>
    </w:p>
    <w:p>
      <w:r>
        <w:t xml:space="preserve">Povećanje radi većih izdvajanja u socijalnu zaštitu.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1.541.271,42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1.879.276,25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r>
        <w:t xml:space="preserve">Ovaj izvještaj daje nam stanje po funkcijskoj klasifikaciji odnosu na prethodnu godinu bilježi se povećanje, index 121,9. Iznos izvršenja 1.879.276,25 eura identičan je stanju izvršenih rashod poslovanja i rashoda za nabavu nefinancijske imovine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169.849,35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ovom računu, evidentirane su promjene u vrijednosti imovine, odnosno ispravak vrijednosti koji je obračunat u 2025.g.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5.668,66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dan 31.12. iznosi 5.668,66 eura,  te obveze su plaćene početkom 2026.g. i odnose se na neplaćene a dospjele račune prema dobavljačima koje su pristigle u općine nakon što je izvještajno razdoblje završilo jer su dobavljači kasnili sa slanjem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65.035,69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65.035,69 eura odnosi se na nedospjele obveze za rashode poslovanja, a u njima se nalaze plaće i rashodi za zaposlene za 12/2025, te pristigle obveze prema dobavljačima.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169.401,77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Nedospjelo stanje glavnice kratkoročnog kredita na dan 31.12.2025 je 169.401,77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Općinanema proračunskih korisnika za konsolidaciju.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Nema podataka za ovaj izvještaj jer općina nema proračunskih korisnika.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72b0ea5ae044e2" /></Relationships>
</file>