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94A05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94A05" w:rsidRDefault="00FD7CA7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94A05" w:rsidRDefault="00FD7CA7">
            <w:pPr>
              <w:spacing w:after="0" w:line="240" w:lineRule="auto"/>
            </w:pPr>
            <w:r>
              <w:t>37293</w:t>
            </w:r>
          </w:p>
        </w:tc>
      </w:tr>
      <w:tr w:rsidR="00394A05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94A05" w:rsidRDefault="00FD7CA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94A05" w:rsidRDefault="00FD7CA7">
            <w:pPr>
              <w:spacing w:after="0" w:line="240" w:lineRule="auto"/>
            </w:pPr>
            <w:r>
              <w:t>OPĆINA SLAVONSKI ŠAMAC</w:t>
            </w:r>
          </w:p>
        </w:tc>
      </w:tr>
      <w:tr w:rsidR="00394A05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94A05" w:rsidRDefault="00FD7CA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94A05" w:rsidRDefault="00FD7CA7">
            <w:pPr>
              <w:spacing w:after="0" w:line="240" w:lineRule="auto"/>
            </w:pPr>
            <w:r>
              <w:t>22</w:t>
            </w:r>
          </w:p>
        </w:tc>
      </w:tr>
    </w:tbl>
    <w:p w:rsidR="00394A05" w:rsidRDefault="00FD7CA7">
      <w:r>
        <w:br/>
      </w:r>
    </w:p>
    <w:p w:rsidR="00394A05" w:rsidRDefault="00FD7CA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94A05" w:rsidRDefault="00FD7CA7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94A05" w:rsidRDefault="00FD7CA7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1.430.112,50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1.728.074,79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1.089.753,18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1.004.699,56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92,2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394A0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340.359,32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723.375,23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212,5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6.843,09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1,0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451.518,24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874.576,69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193,7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394A0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444.675,15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874.509,92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196,7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169.401,77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20.216,60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394A0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169.401,77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394A0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18.267,08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Općina Slavonski Šamac je u izvještajnom razdoblju ostvarila, višak prihoda poslovanja u iznosu od 723.375,23 eura, manjak prihoda od nefinancijske imovine, te višak prihoda od financijske imovine. Na dan 31.12. ukupno je ostvaren višak prihoda i primitaka u iznosu od 18.267,08 eura koji je rezultat sučeljavanja navedenih viškova i manjkova.</w:t>
      </w:r>
    </w:p>
    <w:p w:rsidR="00394A05" w:rsidRDefault="00FD7CA7">
      <w:r>
        <w:br/>
      </w:r>
    </w:p>
    <w:p w:rsidR="00394A05" w:rsidRDefault="00FD7CA7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1.430.112,50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1.728.074,79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Povećanje ukupnih prihoda poslovanja u odnosu na prethodnu godinu, zbog prihoda od uplaćenih EU pomoći, izvršenje 1.728.074,79 eura. Indeks 120,8.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577.646,67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54.634,39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9,5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 xml:space="preserve">Tekuće pomoći, evidentirano smanjenje, jer je pomoć fiskalnog izravnanja </w:t>
      </w:r>
      <w:proofErr w:type="spellStart"/>
      <w:r>
        <w:t>un</w:t>
      </w:r>
      <w:proofErr w:type="spellEnd"/>
      <w:r>
        <w:t xml:space="preserve"> 2025.g. evidentirana na drugoj skupini konta, izvršenje 2025.g. na 6331:</w:t>
      </w:r>
    </w:p>
    <w:p w:rsidR="00394A05" w:rsidRDefault="00FD7CA7">
      <w:r>
        <w:t>Ministarstvo poljoprivrede-za stambeno zbrinjavanje mladih-3.981,68 eura</w:t>
      </w:r>
    </w:p>
    <w:p w:rsidR="00394A05" w:rsidRDefault="00FD7CA7">
      <w:r>
        <w:t>Ministarstvo poljoprivrede-za naknade štete -suša-949,14 eura</w:t>
      </w:r>
    </w:p>
    <w:p w:rsidR="00394A05" w:rsidRDefault="00FD7CA7">
      <w:r>
        <w:t>MRRFEU- za manifestaciju Paprikašijada-1.500,00 eura</w:t>
      </w:r>
    </w:p>
    <w:p w:rsidR="00394A05" w:rsidRDefault="00FD7CA7">
      <w:r>
        <w:t>Brodsko posavska županija- sufinanciranje lokalnih izbora-9.353,46 eura</w:t>
      </w:r>
    </w:p>
    <w:p w:rsidR="00394A05" w:rsidRDefault="00FD7CA7">
      <w:r>
        <w:t>Brodsko posavska županija- za izmještanje dalekovoda-38.850,11  eura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164.504,96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139,4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Povećanje u odnosu na prethodnu  godinu, indeks 139,4.</w:t>
      </w:r>
    </w:p>
    <w:p w:rsidR="00394A05" w:rsidRDefault="00FD7CA7">
      <w:r>
        <w:t>Kapitalne pomoći u iznosu od 164.504,96 eura sadrže:</w:t>
      </w:r>
    </w:p>
    <w:p w:rsidR="00394A05" w:rsidRDefault="00FD7CA7">
      <w:r>
        <w:t>Ministarstvo prostornog uređenja-41.800,00 eura-za staze</w:t>
      </w:r>
    </w:p>
    <w:p w:rsidR="00394A05" w:rsidRDefault="00FD7CA7">
      <w:r>
        <w:t>Ministarstvo regionalnog razvoja-47.000,00 eura-za staze</w:t>
      </w:r>
    </w:p>
    <w:p w:rsidR="00394A05" w:rsidRDefault="00FD7CA7">
      <w:r>
        <w:t>Ministarstvo demografije-za opremanje dječjeg igrališta-49.704,96 eura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424.772,04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Evidentirana sredstva pomoći fiskalnog izravnanja, 424.772,04 eura.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338.575,07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Kapitalne pomoći-sredstva EU- sredstva NPOO za rekonstrukciju građevine koja je namijenjena za vrtić, izvršenje 338.575,07 eura.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17.389,35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Ova stavka sadrži isplaćene naknade za rad biračkih odbora i povjerenstava na lokalnim izborima u 2025.g., izvršenje 17.389,35 eura.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5.697,47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8.116,22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142,5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Veće izvršenje ovih rashoda u odnosu na prethodnu godinu, a radi povećanih izdataka za bankarske usluge i kamate za primljeni kredit, izvršenje 8.116,22, indeks 142,5.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kreditnim i financijskim institucijama, trgovačkim društvima, zadrugama, poljoprivrednicima i obrtnicima izvan javnog sektora (šifre 3521 do 3523)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Povećanje iznosa za izdvajanje sredstava novim poduzetnicima sa područja općine, izvršenje 6.000,00 eura, indeks 300.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drugih proračuna (šifre 3661 do 3663)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631,2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Evidentirano izdvajanje sredstava Osnovnoj školi sa područje općine za obilježavanje obljetnice i osnutka. 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23.577,53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31.760,11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134,7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 xml:space="preserve">Ova stavka bilježi povećanje radi većih izdataka za financiranje rada igraonice i sufinanciranje vrtića za korisnike </w:t>
      </w:r>
      <w:proofErr w:type="spellStart"/>
      <w:r>
        <w:t>vrtičkih</w:t>
      </w:r>
      <w:proofErr w:type="spellEnd"/>
      <w:r>
        <w:t xml:space="preserve"> ustanova, izvršenje 31.760,11 eura, indeks 134,7.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108.276,03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U izvještajnom razdoblju bilježimo manjak prihoda poslovanja u odnosu na prethodnu godinu. Ostvarenje -108.276,03 eura.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241.632,21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531.067,68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219,8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U odnosu na prethodnu, u ovoj godini je pojačano izvršenje projekta izgradnje dječjeg vrtića na ovoj stavci. Izvršenje 531.067,68 eura, indeks 2198.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48.744,80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180.091,25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369,5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Na ovoj stavci bilježimo povećanje, radi povećanog opsega kod izgradnje staza na području općine, izvršenje 180.091,25 eura , indeks 369,5.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22.396,82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65.035,29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290,4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Povećanje ove stavke bilježi se radi izgradnje dječjih igrališta i  izgradnje javne rasvjete. Izvršenje 65.035,269  eura, indeks 290,4.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394A0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44.617,30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30.821,56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69,1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U odnosu na prethodnu godinu, općina je ove godine ostvarila u iznosu od 30.821,56 eura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394A0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4.646.769,67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5.577.489,27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Kod imovine, povećanje ukupne vrijednosti, radi ulaganja i izgradnju objekata komunalne infrastrukture u 2025. te radi aktiviranja objekata u pripremi u objektu u uporabi. Stanje 31.12. iznosi 5.577,489,27, indeks 120,0.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936.403,80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1.189.730,36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127,1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Povećanje stavke odnosi se aktiviranje završenih izgrađenih cesta i staza sa pripreme u uporabu,  stanje  31.12.2025 iznosi 1.189.730,36 eura, indeks 127,1.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859.077,43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1.528.986,01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178,0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Povećanje stavke odnosi se aktiviranje završenih ostalih građevinskih objekata sa pripreme u uporabu,  stanje  31.12.2025 iznosi 11,528,986,01 eura, indeks 178,0.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1.238.563,85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882.844,72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71,3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Smanjenje na ovoj stavci,, indeks 71,3, radi aktiviranja pojedinih objekta u pripremi na objekte u uporabi, stanje 31.12. je 882.844,72 eura.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265.960,98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Sadrži stanje potraživanja  po ZNS ovima za vrtić  i projekt Zaželi. Stanje na dan 31.12. je 265.960,98 eura.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5.490,70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64.476,74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1174,3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Ispravak vrijednosti napravljen je na svim stavkama kojima je dospjelost veća od 2 godine, osim na stavkama poreznih prihoda ( Porezna uprava) koji su općini dostavljeni prema starom Pravilniku, za čega postoji očitovanje Porezne uprave. Stanje 31.12. iznosi 64.476,74 eura.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394A0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4.646.769,67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5.577.489,27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Stanje obveza i izvora vlasništva  jednako je stanju imovine i na dan 31.12. iznosi 5.577.489,27 eura.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394A0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i zajmove - tuzemne (šifre 2622+2623+2624+2631+2643+2644+2645+2653+2654+2671+2672+2673+2674+2675+2676+2677)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26X1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169.401,77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Stavka u iznosu 169.401,77 eura odnosi se na stanje glavnice kratkoročnog kredita kod matične banke u iznosu od 169.401,77 eura.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546,82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2.606,74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476,7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Ova stavka sadrži uplaćena jamstva  po natječaju općine.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-44.617,30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-30.821,56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69,1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Općina je ostvarila ukupni manjak prihoda u iznosu od 30.821,56 eura. Indeks 69,1.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1.258.102,69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3.901.052,71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310,1</w:t>
            </w:r>
          </w:p>
        </w:tc>
      </w:tr>
    </w:tbl>
    <w:p w:rsidR="00394A05" w:rsidRDefault="00394A05">
      <w:pPr>
        <w:spacing w:after="0"/>
      </w:pPr>
    </w:p>
    <w:p w:rsidR="00394A05" w:rsidRDefault="00FD7CA7">
      <w:proofErr w:type="spellStart"/>
      <w:r>
        <w:t>Izvanbilančni</w:t>
      </w:r>
      <w:proofErr w:type="spellEnd"/>
      <w:r>
        <w:t xml:space="preserve"> zapisi sadrže stavke konta 996-aktiva/pasiva, dana i primljena jamstva i  stanje ugovorenih sredstava o bespovratnim sredstvima za EU projekte, na dan 31.12.2025. iznosi 3.901.052,71 eura,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1.258.102,69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2.552.895,32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202,9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Ova stavka daje nam stanje danih /primljenih sredstava osiguranja plaćanja, zadužnica, na dan 31.12. iznosi 2.552.895,32 eura.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Izvršna i zakonodavna tijela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312.293,58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350.988,76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Ova funkcija sadrža sve rashode koji su odnose na izvršnih tijela općine, jedinstvenog upravnog odjela i općinskog vijeća. (plaće, ostale rashode za zaposlene, materijalne i ostale rashode, ostvareno 350.988,76 eura.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i osnovno obrazovanje (šifre 0911+0912)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33.382,09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630.109,13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1887,6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Povećanje ove skupine u odnosu na prethodnu godinu radi izgradnje vrtića.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Socijalna pomoć stanovništvu koje nije obuhvaćeno redovnim socijalnim programima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1.581,06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8.198,86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518,6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Povećanje radi većih izdvajanja u socijalnu zaštitu.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394A0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1.541.271,42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1.879.276,25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121,9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Ovaj izvještaj daje nam stanje po funkcijskoj klasifikaciji odnosu na prethodnu godinu bilježi se povećanje, index 121,9. Iznos izvršenja 1.879.276,25 eura identičan je stanju izvršenih rashod poslovanja i rashoda za nabavu nefinancijske imovine.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394A0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169.849,35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Na ovom računu, evidentirane su promjene u vrijednosti imovine, odnosno ispravak vrijednosti koji je obračunat u 2025.g.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394A0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5.668,66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Stanje dospjelih obveza na dan 31.12. iznosi 5.668,66 eura,  te obveze su plaćene početkom 2026.g. i odnose se na neplaćene a dospjele račune prema dobavljačima koje su pristigle u općine nakon što je izvještajno razdoblje završilo jer su dobavljači kasnili sa slanjem računa.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65.035,69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94A05" w:rsidRDefault="00394A05">
      <w:pPr>
        <w:spacing w:after="0"/>
      </w:pPr>
    </w:p>
    <w:p w:rsidR="00394A05" w:rsidRDefault="00FD7CA7">
      <w:r>
        <w:t>Iznos od 65.035,69 eura odnosi se na nedospjele obveze za rashode poslovanja, a u njima se nalaze plaće i rashodi za zaposlene za 12/2025, te pristigle obveze prema dobavljačima.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94A05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94A05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169.401,77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94A05" w:rsidRDefault="00FD7CA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94A05" w:rsidRDefault="00394A05">
      <w:pPr>
        <w:spacing w:after="0"/>
      </w:pPr>
    </w:p>
    <w:p w:rsidR="00394A05" w:rsidRDefault="004F06F4">
      <w:r>
        <w:t>Nedospjelo stanje glavnice krat</w:t>
      </w:r>
      <w:r w:rsidR="00FD7CA7">
        <w:t>koročnog kredita na dan 31.12.2025 je 169.401,77 eura.</w:t>
      </w:r>
    </w:p>
    <w:p w:rsidR="00394A05" w:rsidRDefault="00FD7CA7">
      <w:r>
        <w:t> </w:t>
      </w:r>
    </w:p>
    <w:p w:rsidR="00394A05" w:rsidRDefault="00394A05"/>
    <w:p w:rsidR="00394A05" w:rsidRDefault="00FD7CA7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p w:rsidR="00394A05" w:rsidRDefault="00FD7CA7">
      <w:pPr>
        <w:spacing w:line="240" w:lineRule="auto"/>
        <w:jc w:val="both"/>
      </w:pPr>
      <w:r>
        <w:rPr>
          <w:b/>
        </w:rPr>
        <w:t>EU izvještaj</w:t>
      </w:r>
    </w:p>
    <w:p w:rsidR="00394A05" w:rsidRDefault="00FD7CA7">
      <w:r>
        <w:t>Ovaj izvještaj daje nam pregled EU projekata općine, sa stanjima rashoda i prihoda, stanjem ugovora i stanje potraživanih sredstava po vrstama.</w:t>
      </w:r>
    </w:p>
    <w:p w:rsidR="00394A05" w:rsidRDefault="00FD7CA7">
      <w:r>
        <w:t>Općina  kao EU projekte ima ugovoreno :</w:t>
      </w:r>
    </w:p>
    <w:p w:rsidR="00394A05" w:rsidRDefault="00FD7CA7">
      <w:r>
        <w:t>1.Projekt : KODNI BROJ: SF.3.4.11.01.0108. – Zaželi posao-prihvati izazov! -  prevencija institucionalizacije u Općini Slavonski Šamac.</w:t>
      </w:r>
    </w:p>
    <w:p w:rsidR="00394A05" w:rsidRDefault="00FD7CA7">
      <w:r>
        <w:t>UKUPNO UGOVORENO: 960.000,00 EURA, iskorišteno 631.097,36, potraživani ZNS na dan 31.12.2025. iznosi 91.116,23 eura</w:t>
      </w:r>
    </w:p>
    <w:p w:rsidR="00394A05" w:rsidRDefault="00FD7CA7">
      <w:r>
        <w:t>2. Projekt rekonstrukcija i opremanje zgrada za potrebe predškolskog odgoja: NPOO .C3.1.R1.11.01.0024-ugovorena sredstva 250.654,00 eura, kroz drugi poziv za financiranje 229.346,00 eura, još potraživana sredstva 174.844,75 eura</w:t>
      </w:r>
    </w:p>
    <w:p w:rsidR="00394A05" w:rsidRDefault="00FD7CA7">
      <w:r>
        <w:t>3. NPOO.C6.1.R5.02.0051- Razvoj zelene infrastrukture kružnog gospodarenja prostorom i zgradom Općine Slavonski Šamac- ugovorena sredstva 844.410,00 eura.</w:t>
      </w:r>
    </w:p>
    <w:p w:rsidR="00394A05" w:rsidRDefault="00394A05"/>
    <w:sectPr w:rsidR="00394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05"/>
    <w:rsid w:val="00220F2A"/>
    <w:rsid w:val="00394A05"/>
    <w:rsid w:val="004F06F4"/>
    <w:rsid w:val="00FD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5CA65-B44E-4DB1-877D-773EF55D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2351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2026-02-16T07:22:00Z</dcterms:created>
  <dcterms:modified xsi:type="dcterms:W3CDTF">2026-02-16T07:22:00Z</dcterms:modified>
</cp:coreProperties>
</file>