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61" w:rsidRDefault="00A7550A" w:rsidP="00D85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29A039CA" wp14:editId="6A14BDF7">
            <wp:extent cx="1181100" cy="2381250"/>
            <wp:effectExtent l="0" t="0" r="0" b="0"/>
            <wp:docPr id="1" name="Slika 1" descr="OPĆINA SLAVONSKI ŠAMAC – Moj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ĆINA SLAVONSKI ŠAMAC – Moja Župan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761" w:rsidRDefault="00AA3761">
      <w:pPr>
        <w:spacing w:after="0" w:line="240" w:lineRule="auto"/>
        <w:rPr>
          <w:rFonts w:ascii="Arial" w:eastAsia="Arial" w:hAnsi="Arial" w:cs="Arial"/>
        </w:rPr>
      </w:pPr>
    </w:p>
    <w:p w:rsidR="00AA3761" w:rsidRDefault="00AA3761">
      <w:pPr>
        <w:spacing w:after="0" w:line="240" w:lineRule="auto"/>
        <w:rPr>
          <w:rFonts w:ascii="Georgia" w:eastAsia="Georgia" w:hAnsi="Georgia" w:cs="Georgia"/>
        </w:rPr>
      </w:pPr>
    </w:p>
    <w:p w:rsidR="00AA3761" w:rsidRPr="007957B0" w:rsidRDefault="00BB0D2D">
      <w:pPr>
        <w:spacing w:after="0" w:line="240" w:lineRule="auto"/>
        <w:jc w:val="center"/>
        <w:rPr>
          <w:rFonts w:ascii="Calibri" w:eastAsia="Calibri" w:hAnsi="Calibri" w:cs="Calibri"/>
          <w:b/>
          <w:color w:val="538135" w:themeColor="accent6" w:themeShade="BF"/>
          <w:sz w:val="88"/>
          <w:u w:val="single"/>
        </w:rPr>
      </w:pPr>
      <w:r w:rsidRPr="007957B0">
        <w:rPr>
          <w:rFonts w:ascii="Calibri" w:eastAsia="Calibri" w:hAnsi="Calibri" w:cs="Calibri"/>
          <w:b/>
          <w:color w:val="538135" w:themeColor="accent6" w:themeShade="BF"/>
          <w:sz w:val="88"/>
          <w:u w:val="single"/>
        </w:rPr>
        <w:t>VODIČ ZA GRAĐANE</w:t>
      </w:r>
    </w:p>
    <w:p w:rsidR="00AA3761" w:rsidRPr="007957B0" w:rsidRDefault="00AA3761">
      <w:pPr>
        <w:spacing w:after="0" w:line="240" w:lineRule="auto"/>
        <w:rPr>
          <w:rFonts w:ascii="Calibri" w:eastAsia="Calibri" w:hAnsi="Calibri" w:cs="Calibri"/>
          <w:b/>
          <w:color w:val="538135" w:themeColor="accent6" w:themeShade="BF"/>
          <w:sz w:val="48"/>
        </w:rPr>
      </w:pPr>
    </w:p>
    <w:p w:rsidR="00AA3761" w:rsidRPr="007957B0" w:rsidRDefault="00BB0D2D">
      <w:pPr>
        <w:spacing w:after="0" w:line="240" w:lineRule="auto"/>
        <w:jc w:val="center"/>
        <w:rPr>
          <w:rFonts w:ascii="Calibri" w:eastAsia="Calibri" w:hAnsi="Calibri" w:cs="Calibri"/>
          <w:b/>
          <w:color w:val="538135" w:themeColor="accent6" w:themeShade="BF"/>
          <w:sz w:val="48"/>
        </w:rPr>
      </w:pPr>
      <w:r w:rsidRPr="007957B0">
        <w:rPr>
          <w:rFonts w:ascii="Calibri" w:eastAsia="Calibri" w:hAnsi="Calibri" w:cs="Calibri"/>
          <w:b/>
          <w:color w:val="538135" w:themeColor="accent6" w:themeShade="BF"/>
          <w:sz w:val="48"/>
        </w:rPr>
        <w:t xml:space="preserve"> PRORAČUN OPĆINE SLAVONSKI ŠAMAC</w:t>
      </w:r>
    </w:p>
    <w:p w:rsidR="00AA3761" w:rsidRPr="007957B0" w:rsidRDefault="004E37B1">
      <w:pPr>
        <w:spacing w:after="0" w:line="240" w:lineRule="auto"/>
        <w:jc w:val="center"/>
        <w:rPr>
          <w:rFonts w:ascii="Calibri" w:eastAsia="Calibri" w:hAnsi="Calibri" w:cs="Calibri"/>
          <w:b/>
          <w:color w:val="538135" w:themeColor="accent6" w:themeShade="BF"/>
          <w:sz w:val="48"/>
        </w:rPr>
      </w:pPr>
      <w:r>
        <w:rPr>
          <w:rFonts w:ascii="Calibri" w:eastAsia="Calibri" w:hAnsi="Calibri" w:cs="Calibri"/>
          <w:b/>
          <w:color w:val="538135" w:themeColor="accent6" w:themeShade="BF"/>
          <w:sz w:val="48"/>
        </w:rPr>
        <w:t xml:space="preserve"> ZA 2026</w:t>
      </w:r>
      <w:r w:rsidR="00BB0D2D" w:rsidRPr="007957B0">
        <w:rPr>
          <w:rFonts w:ascii="Calibri" w:eastAsia="Calibri" w:hAnsi="Calibri" w:cs="Calibri"/>
          <w:b/>
          <w:color w:val="538135" w:themeColor="accent6" w:themeShade="BF"/>
          <w:sz w:val="48"/>
        </w:rPr>
        <w:t xml:space="preserve">.GODINU </w:t>
      </w:r>
    </w:p>
    <w:p w:rsidR="00AA3761" w:rsidRPr="007957B0" w:rsidRDefault="004E37B1">
      <w:pPr>
        <w:spacing w:after="0" w:line="240" w:lineRule="auto"/>
        <w:jc w:val="center"/>
        <w:rPr>
          <w:rFonts w:ascii="Calibri" w:eastAsia="Calibri" w:hAnsi="Calibri" w:cs="Calibri"/>
          <w:b/>
          <w:color w:val="538135" w:themeColor="accent6" w:themeShade="BF"/>
          <w:sz w:val="48"/>
        </w:rPr>
      </w:pPr>
      <w:r>
        <w:rPr>
          <w:rFonts w:ascii="Calibri" w:eastAsia="Calibri" w:hAnsi="Calibri" w:cs="Calibri"/>
          <w:b/>
          <w:color w:val="538135" w:themeColor="accent6" w:themeShade="BF"/>
          <w:sz w:val="48"/>
        </w:rPr>
        <w:t>I PROJEKCIJE PRORAČUNA ZA 2027. i 2028</w:t>
      </w:r>
      <w:r w:rsidR="00BB0D2D" w:rsidRPr="007957B0">
        <w:rPr>
          <w:rFonts w:ascii="Calibri" w:eastAsia="Calibri" w:hAnsi="Calibri" w:cs="Calibri"/>
          <w:b/>
          <w:color w:val="538135" w:themeColor="accent6" w:themeShade="BF"/>
          <w:sz w:val="48"/>
        </w:rPr>
        <w:t>. GODINU</w:t>
      </w:r>
    </w:p>
    <w:p w:rsidR="00AA3761" w:rsidRPr="007957B0" w:rsidRDefault="00AA3761">
      <w:pPr>
        <w:spacing w:after="0" w:line="240" w:lineRule="auto"/>
        <w:jc w:val="center"/>
        <w:rPr>
          <w:rFonts w:ascii="Calibri" w:eastAsia="Calibri" w:hAnsi="Calibri" w:cs="Calibri"/>
          <w:b/>
          <w:color w:val="538135" w:themeColor="accent6" w:themeShade="BF"/>
          <w:sz w:val="48"/>
        </w:rPr>
      </w:pPr>
    </w:p>
    <w:p w:rsidR="00AA3761" w:rsidRPr="007957B0" w:rsidRDefault="00BB0D2D">
      <w:pPr>
        <w:spacing w:after="0" w:line="240" w:lineRule="auto"/>
        <w:rPr>
          <w:rFonts w:ascii="Calibri" w:eastAsia="Calibri" w:hAnsi="Calibri" w:cs="Calibri"/>
          <w:b/>
          <w:i/>
          <w:color w:val="538135" w:themeColor="accent6" w:themeShade="BF"/>
          <w:sz w:val="72"/>
          <w:szCs w:val="72"/>
        </w:rPr>
      </w:pPr>
      <w:r w:rsidRPr="007957B0">
        <w:rPr>
          <w:rFonts w:ascii="Calibri" w:eastAsia="Calibri" w:hAnsi="Calibri" w:cs="Calibri"/>
          <w:b/>
          <w:i/>
          <w:color w:val="538135" w:themeColor="accent6" w:themeShade="BF"/>
          <w:sz w:val="72"/>
          <w:szCs w:val="72"/>
        </w:rPr>
        <w:lastRenderedPageBreak/>
        <w:t>Što je Proračun općine?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b/>
          <w:i/>
          <w:sz w:val="40"/>
        </w:rPr>
      </w:pPr>
    </w:p>
    <w:p w:rsidR="00AA3761" w:rsidRDefault="00BB0D2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Proračun je jedan od najvažnijih dokumenata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koji se donosi na razini jedinica lokalne samouprave (općine)</w:t>
      </w:r>
    </w:p>
    <w:p w:rsidR="00AA3761" w:rsidRDefault="00BB0D2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Proračun je akt kojim se procjenjuju prihodi i</w:t>
      </w:r>
    </w:p>
    <w:p w:rsidR="00AA3761" w:rsidRDefault="00BB0D2D">
      <w:pPr>
        <w:spacing w:after="0" w:line="240" w:lineRule="auto"/>
        <w:jc w:val="both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 xml:space="preserve">primici te utvrđuju rashodi i izdaci jedinice lokalne samouprave za proračunsku godinu, te sadrži i </w:t>
      </w:r>
      <w:r>
        <w:rPr>
          <w:rFonts w:ascii="Calibri" w:eastAsia="Calibri" w:hAnsi="Calibri" w:cs="Calibri"/>
          <w:b/>
          <w:sz w:val="50"/>
        </w:rPr>
        <w:t xml:space="preserve">projekciju </w:t>
      </w:r>
      <w:r>
        <w:rPr>
          <w:rFonts w:ascii="Calibri" w:eastAsia="Calibri" w:hAnsi="Calibri" w:cs="Calibri"/>
          <w:sz w:val="56"/>
        </w:rPr>
        <w:t>prihoda i primitaka te rashoda i izdataka za dvije godine unaprijed.</w:t>
      </w:r>
    </w:p>
    <w:p w:rsidR="00AA3761" w:rsidRDefault="00BB0D2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Propis kojim su regulirana sva pitanja vezana uz</w:t>
      </w:r>
    </w:p>
    <w:p w:rsidR="00AA3761" w:rsidRDefault="00BB0D2D">
      <w:pPr>
        <w:spacing w:after="0" w:line="240" w:lineRule="auto"/>
        <w:jc w:val="both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 xml:space="preserve">proračun je Zakon o proračunu („Narodne novine“ </w:t>
      </w:r>
      <w:r w:rsidR="00A34F4D">
        <w:rPr>
          <w:rFonts w:ascii="Calibri" w:eastAsia="Calibri" w:hAnsi="Calibri" w:cs="Calibri"/>
          <w:sz w:val="56"/>
        </w:rPr>
        <w:t>144/2021).</w:t>
      </w:r>
    </w:p>
    <w:p w:rsidR="00A34F4D" w:rsidRDefault="00A34F4D">
      <w:pPr>
        <w:spacing w:after="0" w:line="240" w:lineRule="auto"/>
        <w:jc w:val="both"/>
        <w:rPr>
          <w:rFonts w:ascii="Calibri" w:eastAsia="Calibri" w:hAnsi="Calibri" w:cs="Calibri"/>
          <w:sz w:val="56"/>
        </w:rPr>
      </w:pPr>
    </w:p>
    <w:p w:rsidR="00AA3761" w:rsidRPr="007957B0" w:rsidRDefault="00BB0D2D">
      <w:pPr>
        <w:spacing w:after="0" w:line="240" w:lineRule="auto"/>
        <w:rPr>
          <w:rFonts w:ascii="Calibri" w:eastAsia="Calibri" w:hAnsi="Calibri" w:cs="Calibri"/>
          <w:b/>
          <w:i/>
          <w:color w:val="538135" w:themeColor="accent6" w:themeShade="BF"/>
          <w:sz w:val="72"/>
          <w:szCs w:val="72"/>
          <w:u w:val="single"/>
        </w:rPr>
      </w:pPr>
      <w:r w:rsidRPr="007957B0">
        <w:rPr>
          <w:rFonts w:ascii="Calibri" w:eastAsia="Calibri" w:hAnsi="Calibri" w:cs="Calibri"/>
          <w:b/>
          <w:i/>
          <w:color w:val="538135" w:themeColor="accent6" w:themeShade="BF"/>
          <w:sz w:val="72"/>
          <w:szCs w:val="72"/>
          <w:u w:val="single"/>
        </w:rPr>
        <w:lastRenderedPageBreak/>
        <w:t>Kako se donosi proračun?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b/>
          <w:i/>
          <w:sz w:val="88"/>
        </w:rPr>
      </w:pPr>
    </w:p>
    <w:p w:rsidR="00AA3761" w:rsidRDefault="00BB0D2D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Proračun donosi predstavničko tijelo jedinica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lokalne samouprave/općine (Općinsko Vijeće</w:t>
      </w:r>
      <w:r w:rsidR="00F36AF0">
        <w:rPr>
          <w:rFonts w:ascii="Calibri" w:eastAsia="Calibri" w:hAnsi="Calibri" w:cs="Calibri"/>
          <w:sz w:val="52"/>
        </w:rPr>
        <w:t xml:space="preserve"> Općine</w:t>
      </w:r>
      <w:r>
        <w:rPr>
          <w:rFonts w:ascii="Calibri" w:eastAsia="Calibri" w:hAnsi="Calibri" w:cs="Calibri"/>
          <w:sz w:val="52"/>
        </w:rPr>
        <w:t xml:space="preserve"> Slavonski Šamac)</w:t>
      </w:r>
    </w:p>
    <w:p w:rsidR="00AA3761" w:rsidRDefault="00BB0D2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Proračun se prema Zakonu mora donijeti najkasnije do</w:t>
      </w:r>
    </w:p>
    <w:p w:rsidR="00AA3761" w:rsidRDefault="00BB0D2D">
      <w:pPr>
        <w:spacing w:after="0" w:line="240" w:lineRule="auto"/>
        <w:jc w:val="both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 xml:space="preserve">konca tekuće godine za iduću godinu, a prema prijedlogu kojega utvrđuje načelnik i dostavlja predstavničkom tijelu do </w:t>
      </w:r>
    </w:p>
    <w:p w:rsidR="00AA3761" w:rsidRDefault="00BB0D2D">
      <w:pPr>
        <w:spacing w:after="0" w:line="240" w:lineRule="auto"/>
        <w:jc w:val="both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15. studenog tekuće godine</w:t>
      </w:r>
    </w:p>
    <w:p w:rsidR="00AA3761" w:rsidRDefault="00BB0D2D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Ako se proračun ne donese u roku:</w:t>
      </w:r>
    </w:p>
    <w:p w:rsidR="00AA3761" w:rsidRDefault="00BB0D2D">
      <w:pPr>
        <w:numPr>
          <w:ilvl w:val="0"/>
          <w:numId w:val="6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Privremeno financiranje</w:t>
      </w:r>
    </w:p>
    <w:p w:rsidR="00AA3761" w:rsidRDefault="00BB0D2D">
      <w:pPr>
        <w:numPr>
          <w:ilvl w:val="0"/>
          <w:numId w:val="6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Raspuštanje Općinskog vijeća</w:t>
      </w:r>
    </w:p>
    <w:p w:rsidR="00AA3761" w:rsidRDefault="00BB0D2D">
      <w:pPr>
        <w:numPr>
          <w:ilvl w:val="0"/>
          <w:numId w:val="6"/>
        </w:numPr>
        <w:tabs>
          <w:tab w:val="left" w:pos="1440"/>
        </w:tabs>
        <w:spacing w:after="0" w:line="240" w:lineRule="auto"/>
        <w:ind w:left="1440" w:hanging="360"/>
        <w:rPr>
          <w:rFonts w:ascii="Calibri" w:eastAsia="Calibri" w:hAnsi="Calibri" w:cs="Calibri"/>
          <w:i/>
          <w:color w:val="FFFFFF"/>
          <w:sz w:val="72"/>
        </w:rPr>
      </w:pPr>
      <w:r>
        <w:rPr>
          <w:rFonts w:ascii="Calibri" w:eastAsia="Calibri" w:hAnsi="Calibri" w:cs="Calibri"/>
          <w:sz w:val="44"/>
        </w:rPr>
        <w:t>Prijevremeni izbori za Općinsko vijeće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44"/>
        </w:rPr>
      </w:pPr>
    </w:p>
    <w:p w:rsidR="00AA3761" w:rsidRPr="007957B0" w:rsidRDefault="00BB0D2D">
      <w:pPr>
        <w:spacing w:after="0" w:line="240" w:lineRule="auto"/>
        <w:rPr>
          <w:rFonts w:ascii="Calibri" w:eastAsia="Calibri" w:hAnsi="Calibri" w:cs="Calibri"/>
          <w:b/>
          <w:i/>
          <w:color w:val="538135" w:themeColor="accent6" w:themeShade="BF"/>
          <w:sz w:val="80"/>
          <w:u w:val="single"/>
        </w:rPr>
      </w:pPr>
      <w:r w:rsidRPr="007957B0">
        <w:rPr>
          <w:rFonts w:ascii="Calibri" w:eastAsia="Calibri" w:hAnsi="Calibri" w:cs="Calibri"/>
          <w:b/>
          <w:i/>
          <w:color w:val="538135" w:themeColor="accent6" w:themeShade="BF"/>
          <w:sz w:val="80"/>
          <w:u w:val="single"/>
        </w:rPr>
        <w:t>Sadržaj Proračuna</w:t>
      </w:r>
    </w:p>
    <w:p w:rsidR="00AA3761" w:rsidRPr="007957B0" w:rsidRDefault="00AA3761"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</w:p>
    <w:p w:rsidR="00AA3761" w:rsidRDefault="00BB0D2D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OPĆI DIO </w:t>
      </w:r>
      <w:r>
        <w:rPr>
          <w:rFonts w:ascii="Calibri" w:eastAsia="Calibri" w:hAnsi="Calibri" w:cs="Calibri"/>
          <w:sz w:val="48"/>
        </w:rPr>
        <w:t>Račun prihoda i rashoda i Račun</w:t>
      </w:r>
    </w:p>
    <w:p w:rsidR="00AA3761" w:rsidRDefault="00471D82">
      <w:pPr>
        <w:spacing w:after="0"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F</w:t>
      </w:r>
      <w:r w:rsidR="00BB0D2D">
        <w:rPr>
          <w:rFonts w:ascii="Calibri" w:eastAsia="Calibri" w:hAnsi="Calibri" w:cs="Calibri"/>
          <w:sz w:val="48"/>
        </w:rPr>
        <w:t>inanciranja</w:t>
      </w:r>
      <w:r w:rsidR="00A34F4D">
        <w:rPr>
          <w:rFonts w:ascii="Calibri" w:eastAsia="Calibri" w:hAnsi="Calibri" w:cs="Calibri"/>
          <w:sz w:val="48"/>
        </w:rPr>
        <w:t xml:space="preserve"> te</w:t>
      </w:r>
      <w:r>
        <w:rPr>
          <w:rFonts w:ascii="Calibri" w:eastAsia="Calibri" w:hAnsi="Calibri" w:cs="Calibri"/>
          <w:sz w:val="48"/>
        </w:rPr>
        <w:t xml:space="preserve"> raspoloživ</w:t>
      </w:r>
      <w:r w:rsidR="00106858">
        <w:rPr>
          <w:rFonts w:ascii="Calibri" w:eastAsia="Calibri" w:hAnsi="Calibri" w:cs="Calibri"/>
          <w:sz w:val="48"/>
        </w:rPr>
        <w:t>a</w:t>
      </w:r>
      <w:r>
        <w:rPr>
          <w:rFonts w:ascii="Calibri" w:eastAsia="Calibri" w:hAnsi="Calibri" w:cs="Calibri"/>
          <w:sz w:val="48"/>
        </w:rPr>
        <w:t xml:space="preserve"> sredstava iz prethodnih godina</w:t>
      </w:r>
    </w:p>
    <w:p w:rsidR="00A7550A" w:rsidRDefault="00A7550A" w:rsidP="00A34F4D">
      <w:pPr>
        <w:spacing w:after="0" w:line="240" w:lineRule="auto"/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</w:pPr>
    </w:p>
    <w:p w:rsidR="00A34F4D" w:rsidRDefault="00A34F4D" w:rsidP="00D85826">
      <w:pPr>
        <w:spacing w:after="0" w:line="240" w:lineRule="auto"/>
        <w:jc w:val="center"/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</w:pPr>
    </w:p>
    <w:p w:rsidR="00D85826" w:rsidRDefault="00D85826" w:rsidP="00D85826">
      <w:pPr>
        <w:spacing w:after="0" w:line="240" w:lineRule="auto"/>
        <w:jc w:val="center"/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</w:pPr>
      <w:r w:rsidRPr="00A7550A"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  <w:t>PRORAČU</w:t>
      </w:r>
      <w:r w:rsidR="004E37B1"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  <w:t>N OPĆINE SLAVONSKI ŠAMAC ZA 2026.G., PROJEKCIJE ZA 2027</w:t>
      </w:r>
      <w:r w:rsidRPr="00A7550A"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  <w:t>. I 202</w:t>
      </w:r>
      <w:r w:rsidR="004E37B1"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  <w:t>8</w:t>
      </w:r>
      <w:r w:rsidRPr="00A7550A"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  <w:t>. GODINU</w:t>
      </w:r>
    </w:p>
    <w:p w:rsidR="00A34F4D" w:rsidRDefault="00A34F4D" w:rsidP="00D85826">
      <w:pPr>
        <w:spacing w:after="0" w:line="240" w:lineRule="auto"/>
        <w:jc w:val="center"/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</w:pPr>
    </w:p>
    <w:p w:rsidR="00A34F4D" w:rsidRDefault="00A34F4D" w:rsidP="00D85826">
      <w:pPr>
        <w:spacing w:after="0" w:line="240" w:lineRule="auto"/>
        <w:jc w:val="center"/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</w:pPr>
    </w:p>
    <w:p w:rsidR="00A34F4D" w:rsidRPr="00A7550A" w:rsidRDefault="00A34F4D" w:rsidP="00D85826">
      <w:pPr>
        <w:spacing w:after="0" w:line="240" w:lineRule="auto"/>
        <w:jc w:val="center"/>
        <w:rPr>
          <w:rFonts w:ascii="Bahnschrift SemiBold Condensed" w:eastAsia="Calibri" w:hAnsi="Bahnschrift SemiBold Condensed" w:cs="Calibri"/>
          <w:b/>
          <w:i/>
          <w:color w:val="538135" w:themeColor="accent6" w:themeShade="BF"/>
          <w:sz w:val="72"/>
          <w:szCs w:val="72"/>
        </w:rPr>
      </w:pPr>
    </w:p>
    <w:tbl>
      <w:tblPr>
        <w:tblW w:w="10074" w:type="dxa"/>
        <w:tblInd w:w="-431" w:type="dxa"/>
        <w:tblLook w:val="04A0" w:firstRow="1" w:lastRow="0" w:firstColumn="1" w:lastColumn="0" w:noHBand="0" w:noVBand="1"/>
      </w:tblPr>
      <w:tblGrid>
        <w:gridCol w:w="3713"/>
        <w:gridCol w:w="1244"/>
        <w:gridCol w:w="1238"/>
        <w:gridCol w:w="39"/>
        <w:gridCol w:w="1248"/>
        <w:gridCol w:w="32"/>
        <w:gridCol w:w="1255"/>
        <w:gridCol w:w="21"/>
        <w:gridCol w:w="1275"/>
        <w:gridCol w:w="9"/>
      </w:tblGrid>
      <w:tr w:rsidR="00A34F4D" w:rsidRPr="00A34F4D" w:rsidTr="00A34F4D">
        <w:trPr>
          <w:gridAfter w:val="1"/>
          <w:wAfter w:w="9" w:type="dxa"/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RAČUN PRIHODA I RASHODA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Izvršenje 2024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Plan za 2026.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Projekcija za 2027.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Projekcija 2028.</w:t>
            </w:r>
          </w:p>
        </w:tc>
      </w:tr>
      <w:tr w:rsidR="00A34F4D" w:rsidRPr="00A34F4D" w:rsidTr="00A34F4D">
        <w:trPr>
          <w:gridAfter w:val="1"/>
          <w:wAfter w:w="9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6  Prihodi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1.430.112,50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4.682.500,00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4.516.432,69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1.754.175,00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1.398.275,00</w:t>
            </w:r>
          </w:p>
        </w:tc>
      </w:tr>
      <w:tr w:rsidR="00A34F4D" w:rsidRPr="00A34F4D" w:rsidTr="00A34F4D">
        <w:trPr>
          <w:gridAfter w:val="1"/>
          <w:wAfter w:w="9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7  Prihodi od prodaje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6.843,09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19.000,00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20.000,00</w:t>
            </w:r>
          </w:p>
        </w:tc>
      </w:tr>
      <w:tr w:rsidR="00A34F4D" w:rsidRPr="00A34F4D" w:rsidTr="00A34F4D">
        <w:trPr>
          <w:gridAfter w:val="1"/>
          <w:wAfter w:w="9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UKUPNO PRIHODI: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1.436.955,59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4.701.500,00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4.535.432,69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1.774.175,00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1.418.275,00</w:t>
            </w:r>
          </w:p>
        </w:tc>
      </w:tr>
      <w:tr w:rsidR="00A34F4D" w:rsidRPr="00A34F4D" w:rsidTr="00A34F4D">
        <w:trPr>
          <w:gridAfter w:val="1"/>
          <w:wAfter w:w="9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3  Rashodi poslovanja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1.059.753,18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1.783.025,00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1.728.810,19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1.265.075,00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906.675,00</w:t>
            </w:r>
          </w:p>
        </w:tc>
      </w:tr>
      <w:tr w:rsidR="00A34F4D" w:rsidRPr="00A34F4D" w:rsidTr="00A34F4D">
        <w:trPr>
          <w:gridAfter w:val="1"/>
          <w:wAfter w:w="9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4  Rashodi za nabavu nefinancijske imovine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451.518,24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3.029.175,00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3.205.322,50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509.100,00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511.600,00</w:t>
            </w:r>
          </w:p>
        </w:tc>
      </w:tr>
      <w:tr w:rsidR="00A34F4D" w:rsidRPr="00A34F4D" w:rsidTr="00A34F4D">
        <w:trPr>
          <w:gridAfter w:val="1"/>
          <w:wAfter w:w="9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UKUPNO RASHODI: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1.541.271,42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4.812.200,00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4.934.132,69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1.774.175,00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1.418.275,00</w:t>
            </w:r>
          </w:p>
        </w:tc>
      </w:tr>
      <w:tr w:rsidR="00A34F4D" w:rsidRPr="00A34F4D" w:rsidTr="00A34F4D">
        <w:trPr>
          <w:gridAfter w:val="1"/>
          <w:wAfter w:w="9" w:type="dxa"/>
          <w:trHeight w:val="180"/>
        </w:trPr>
        <w:tc>
          <w:tcPr>
            <w:tcW w:w="3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RAZLIKA VIŠAK/MANJAK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-104.315,83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34F4D">
              <w:rPr>
                <w:rFonts w:eastAsiaTheme="minorHAnsi"/>
                <w:sz w:val="18"/>
                <w:szCs w:val="18"/>
                <w:lang w:eastAsia="en-US"/>
              </w:rPr>
              <w:t>-110.700,00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-398.700,00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4F4D" w:rsidRPr="00A34F4D" w:rsidTr="00A34F4D">
        <w:trPr>
          <w:trHeight w:val="501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RAČUN FINANCIRANJA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Izvršenje 2023.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Tekući plan  2024.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Plan za 2025.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Projekcija za 2026.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Projekcija 2027.</w:t>
            </w:r>
          </w:p>
        </w:tc>
      </w:tr>
      <w:tr w:rsidR="00A34F4D" w:rsidRPr="00A34F4D" w:rsidTr="00A34F4D">
        <w:trPr>
          <w:trHeight w:val="372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8  Primici od financijske imovine i zaduživanja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A34F4D" w:rsidRPr="00A34F4D" w:rsidTr="00A34F4D">
        <w:trPr>
          <w:trHeight w:val="37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5  Izdaci za financijsku imovinu i otpl. zajmova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20.216,60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A34F4D" w:rsidRPr="00A34F4D" w:rsidTr="00A34F4D">
        <w:trPr>
          <w:trHeight w:val="184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NETO FINANCIRANJE: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-20.216,60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-1.300,00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398.700,00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4F4D" w:rsidRPr="00A34F4D" w:rsidTr="00A34F4D">
        <w:trPr>
          <w:gridAfter w:val="1"/>
          <w:wAfter w:w="9" w:type="dxa"/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RASPOLOŽIVA SREDSTVA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Izvršenje 2023.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Tekući plan 2024.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Plan za 2025.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Projekcija za 2026.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Projekcija 2027.</w:t>
            </w:r>
          </w:p>
        </w:tc>
      </w:tr>
      <w:tr w:rsidR="00A34F4D" w:rsidRPr="00A34F4D" w:rsidTr="00A34F4D">
        <w:trPr>
          <w:gridAfter w:val="1"/>
          <w:wAfter w:w="9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Prijenos viška/manjka iz prethodnih godina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79.915,13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112.000,00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A34F4D" w:rsidRPr="00A34F4D" w:rsidTr="00A34F4D">
        <w:trPr>
          <w:gridAfter w:val="1"/>
          <w:wAfter w:w="9" w:type="dxa"/>
          <w:trHeight w:val="408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Prijenos viška/manjka u slijedeće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79.915,13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112.000,00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b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A34F4D" w:rsidRPr="00A34F4D" w:rsidTr="00A34F4D">
        <w:trPr>
          <w:gridAfter w:val="1"/>
          <w:wAfter w:w="9" w:type="dxa"/>
          <w:trHeight w:val="85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A34F4D" w:rsidRPr="00A34F4D" w:rsidRDefault="00A34F4D" w:rsidP="00A34F4D">
            <w:pPr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b/>
                <w:bCs/>
                <w:color w:val="000000"/>
                <w:sz w:val="18"/>
                <w:szCs w:val="18"/>
              </w:rPr>
              <w:t>VIŠAK/MANJAK + NETO FINANCIRANJE + PRIJENOS VIŠKA/MANJKA IZ PRETHODNE(IH) GODINE – PRIJENOS VIŠKA/MANJAK U SLIJEDEĆE RAZDOBLJE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4F4D" w:rsidRPr="00A34F4D" w:rsidRDefault="00A34F4D" w:rsidP="00A34F4D">
            <w:pPr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-44.617,30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34F4D" w:rsidRPr="00A34F4D" w:rsidRDefault="00A34F4D" w:rsidP="00A34F4D">
            <w:pPr>
              <w:jc w:val="center"/>
              <w:rPr>
                <w:rFonts w:eastAsiaTheme="minorHAnsi" w:cstheme="minorHAnsi"/>
                <w:color w:val="000000"/>
                <w:sz w:val="18"/>
                <w:szCs w:val="18"/>
              </w:rPr>
            </w:pPr>
            <w:r w:rsidRPr="00A34F4D">
              <w:rPr>
                <w:rFonts w:eastAsia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</w:tbl>
    <w:p w:rsidR="00A7550A" w:rsidRDefault="00A7550A" w:rsidP="00D8582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538135" w:themeColor="accent6" w:themeShade="BF"/>
          <w:sz w:val="32"/>
          <w:szCs w:val="32"/>
        </w:rPr>
      </w:pPr>
    </w:p>
    <w:p w:rsidR="00AA3761" w:rsidRDefault="00BB0D2D" w:rsidP="00471D82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lastRenderedPageBreak/>
        <w:t xml:space="preserve">POSEBNI DIO </w:t>
      </w:r>
      <w:r>
        <w:rPr>
          <w:rFonts w:ascii="Calibri" w:eastAsia="Calibri" w:hAnsi="Calibri" w:cs="Calibri"/>
          <w:sz w:val="48"/>
        </w:rPr>
        <w:t xml:space="preserve">sastoji se od plana rashoda i izdataka </w:t>
      </w:r>
      <w:r w:rsidRPr="00471D82">
        <w:rPr>
          <w:rFonts w:ascii="Calibri" w:eastAsia="Calibri" w:hAnsi="Calibri" w:cs="Calibri"/>
          <w:sz w:val="48"/>
        </w:rPr>
        <w:t>iskazanih po Razdjelima na razini programa i aktivnosti</w:t>
      </w:r>
      <w:r w:rsidR="00471D82">
        <w:rPr>
          <w:rFonts w:ascii="Calibri" w:eastAsia="Calibri" w:hAnsi="Calibri" w:cs="Calibri"/>
          <w:sz w:val="48"/>
        </w:rPr>
        <w:t>, izvorima financiranja i funkcijskoj klasifikaciji.</w:t>
      </w:r>
    </w:p>
    <w:p w:rsidR="007957B0" w:rsidRDefault="007957B0" w:rsidP="007957B0">
      <w:pPr>
        <w:spacing w:after="0" w:line="240" w:lineRule="auto"/>
        <w:rPr>
          <w:rFonts w:ascii="Calibri" w:eastAsia="Calibri" w:hAnsi="Calibri" w:cs="Calibri"/>
          <w:sz w:val="48"/>
        </w:rPr>
      </w:pPr>
    </w:p>
    <w:p w:rsidR="00AA3761" w:rsidRPr="007957B0" w:rsidRDefault="00BB0D2D">
      <w:pPr>
        <w:spacing w:after="0" w:line="240" w:lineRule="auto"/>
        <w:rPr>
          <w:rFonts w:ascii="Calibri" w:eastAsia="Calibri" w:hAnsi="Calibri" w:cs="Calibri"/>
          <w:b/>
          <w:color w:val="538135" w:themeColor="accent6" w:themeShade="BF"/>
          <w:sz w:val="48"/>
          <w:u w:val="single"/>
        </w:rPr>
      </w:pPr>
      <w:r w:rsidRPr="007957B0">
        <w:rPr>
          <w:rFonts w:ascii="Calibri" w:eastAsia="Calibri" w:hAnsi="Calibri" w:cs="Calibri"/>
          <w:b/>
          <w:color w:val="538135" w:themeColor="accent6" w:themeShade="BF"/>
          <w:sz w:val="48"/>
          <w:u w:val="single"/>
        </w:rPr>
        <w:t>RASHODI PRORAČUNA PO EKONOMSKOJ KLASIFIKACIJI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48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1) Rashodi poslovanja</w:t>
      </w:r>
    </w:p>
    <w:p w:rsidR="00AA3761" w:rsidRDefault="00BB0D2D">
      <w:pPr>
        <w:spacing w:after="0" w:line="240" w:lineRule="auto"/>
        <w:ind w:left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a) Rashodi za zaposlene </w:t>
      </w:r>
      <w:r>
        <w:rPr>
          <w:rFonts w:ascii="Calibri" w:eastAsia="Calibri" w:hAnsi="Calibri" w:cs="Calibri"/>
          <w:sz w:val="48"/>
        </w:rPr>
        <w:t>(plaće djelatnika Općine, naknade,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sz w:val="48"/>
        </w:rPr>
        <w:t>doprinosi na plaće),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b) Materijalni rashodi </w:t>
      </w:r>
      <w:r>
        <w:rPr>
          <w:rFonts w:ascii="Calibri" w:eastAsia="Calibri" w:hAnsi="Calibri" w:cs="Calibri"/>
          <w:sz w:val="48"/>
        </w:rPr>
        <w:t>(naknade troškova zaposlenicima, uredski materijal, energija, telefon, pošta, intelektualne usluge, reprezentacija, naknade vijećnicima, održavanje komunalne infrastrukture...),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c) Financijski rashodi </w:t>
      </w:r>
      <w:r>
        <w:rPr>
          <w:rFonts w:ascii="Calibri" w:eastAsia="Calibri" w:hAnsi="Calibri" w:cs="Calibri"/>
          <w:sz w:val="48"/>
        </w:rPr>
        <w:t>(kamate na kredite,</w:t>
      </w:r>
      <w:r w:rsidR="00A7550A">
        <w:rPr>
          <w:rFonts w:ascii="Calibri" w:eastAsia="Calibri" w:hAnsi="Calibri" w:cs="Calibri"/>
          <w:sz w:val="48"/>
        </w:rPr>
        <w:t xml:space="preserve"> </w:t>
      </w:r>
      <w:r>
        <w:rPr>
          <w:rFonts w:ascii="Calibri" w:eastAsia="Calibri" w:hAnsi="Calibri" w:cs="Calibri"/>
          <w:sz w:val="48"/>
        </w:rPr>
        <w:t>bankarske usluge)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d) Subvencije 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 xml:space="preserve">e) Pomoći </w:t>
      </w:r>
      <w:r>
        <w:rPr>
          <w:rFonts w:ascii="Calibri" w:eastAsia="Calibri" w:hAnsi="Calibri" w:cs="Calibri"/>
          <w:sz w:val="48"/>
        </w:rPr>
        <w:t>(tekuće i kapitalne pomoći)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lastRenderedPageBreak/>
        <w:t xml:space="preserve">f) Naknade građanima i kućanstvima </w:t>
      </w:r>
      <w:r>
        <w:rPr>
          <w:rFonts w:ascii="Calibri" w:eastAsia="Calibri" w:hAnsi="Calibri" w:cs="Calibri"/>
          <w:sz w:val="48"/>
        </w:rPr>
        <w:t>(troškovi koji se odnose na isplate u okviru Programa socijale skrbi, Odluke Općinskog vijeća i načelnika )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g) Ostali rashodi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sz w:val="48"/>
        </w:rPr>
        <w:t>donacije (naknade za rad udruga u kulturi, sportu, socijali, financiranju političkih stranaka i sl. temeljem Javnih natječaja),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48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2) Rashodi za nabavu nefinancijske imovine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>a)</w:t>
      </w:r>
      <w:r>
        <w:rPr>
          <w:rFonts w:ascii="Calibri" w:eastAsia="Calibri" w:hAnsi="Calibri" w:cs="Calibri"/>
          <w:sz w:val="48"/>
        </w:rPr>
        <w:t xml:space="preserve"> Kupnja zemljišta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>b)</w:t>
      </w:r>
      <w:r>
        <w:rPr>
          <w:rFonts w:ascii="Calibri" w:eastAsia="Calibri" w:hAnsi="Calibri" w:cs="Calibri"/>
          <w:sz w:val="48"/>
        </w:rPr>
        <w:t xml:space="preserve"> Kupnja ili gradnja građevinskih objekata (poslovni objekti, komunalni objekti)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t>c)</w:t>
      </w:r>
      <w:r>
        <w:rPr>
          <w:rFonts w:ascii="Calibri" w:eastAsia="Calibri" w:hAnsi="Calibri" w:cs="Calibri"/>
          <w:sz w:val="48"/>
        </w:rPr>
        <w:t xml:space="preserve"> Kupnja prijevoznih sredstava, knjiga i umjetničkih djela, uredske oprema i namještaja)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48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3) Izdaci za financijsku imovinu i otplate zajmova</w:t>
      </w:r>
    </w:p>
    <w:p w:rsidR="00AA3761" w:rsidRDefault="00BB0D2D">
      <w:pPr>
        <w:spacing w:after="0" w:line="240" w:lineRule="auto"/>
        <w:ind w:firstLine="708"/>
        <w:rPr>
          <w:rFonts w:ascii="Calibri" w:eastAsia="Calibri" w:hAnsi="Calibri" w:cs="Calibri"/>
          <w:sz w:val="48"/>
        </w:rPr>
      </w:pPr>
      <w:r>
        <w:rPr>
          <w:rFonts w:ascii="Calibri" w:eastAsia="Calibri" w:hAnsi="Calibri" w:cs="Calibri"/>
          <w:b/>
          <w:sz w:val="48"/>
        </w:rPr>
        <w:lastRenderedPageBreak/>
        <w:t>a)</w:t>
      </w:r>
      <w:r>
        <w:rPr>
          <w:rFonts w:ascii="Calibri" w:eastAsia="Calibri" w:hAnsi="Calibri" w:cs="Calibri"/>
          <w:sz w:val="48"/>
        </w:rPr>
        <w:t xml:space="preserve"> Otplatne rate kredita (kratkoročni i dugoročni)</w:t>
      </w:r>
    </w:p>
    <w:p w:rsidR="00A7550A" w:rsidRDefault="00A7550A">
      <w:pPr>
        <w:spacing w:after="0" w:line="240" w:lineRule="auto"/>
        <w:rPr>
          <w:rFonts w:ascii="Calibri" w:eastAsia="Calibri" w:hAnsi="Calibri" w:cs="Calibri"/>
          <w:sz w:val="72"/>
        </w:rPr>
      </w:pPr>
    </w:p>
    <w:p w:rsidR="00AA3761" w:rsidRPr="00BB5EB0" w:rsidRDefault="00402B4E">
      <w:pPr>
        <w:spacing w:after="0" w:line="240" w:lineRule="auto"/>
        <w:rPr>
          <w:rFonts w:ascii="Calibri" w:eastAsia="Calibri" w:hAnsi="Calibri" w:cs="Calibri"/>
          <w:color w:val="538135" w:themeColor="accent6" w:themeShade="BF"/>
          <w:sz w:val="72"/>
          <w:u w:val="single"/>
        </w:rPr>
      </w:pPr>
      <w:r w:rsidRPr="00BB5EB0">
        <w:rPr>
          <w:rFonts w:ascii="Calibri" w:eastAsia="Calibri" w:hAnsi="Calibri" w:cs="Calibri"/>
          <w:color w:val="538135" w:themeColor="accent6" w:themeShade="BF"/>
          <w:sz w:val="72"/>
          <w:u w:val="single"/>
        </w:rPr>
        <w:t>V</w:t>
      </w:r>
      <w:r w:rsidR="00BB0D2D" w:rsidRPr="00BB5EB0">
        <w:rPr>
          <w:rFonts w:ascii="Calibri" w:eastAsia="Calibri" w:hAnsi="Calibri" w:cs="Calibri"/>
          <w:color w:val="538135" w:themeColor="accent6" w:themeShade="BF"/>
          <w:sz w:val="72"/>
          <w:u w:val="single"/>
        </w:rPr>
        <w:t>ažno je znati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b/>
          <w:sz w:val="72"/>
        </w:rPr>
      </w:pPr>
    </w:p>
    <w:p w:rsidR="00AA3761" w:rsidRPr="00BB0D2D" w:rsidRDefault="00BB0D2D" w:rsidP="00BB0D2D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 xml:space="preserve">Jedno od najvažnijih načela proračuna je da isti </w:t>
      </w:r>
      <w:r w:rsidRPr="00BB0D2D">
        <w:rPr>
          <w:rFonts w:ascii="Calibri" w:eastAsia="Calibri" w:hAnsi="Calibri" w:cs="Calibri"/>
          <w:sz w:val="52"/>
        </w:rPr>
        <w:t xml:space="preserve">mora biti </w:t>
      </w:r>
      <w:r w:rsidRPr="00BB0D2D">
        <w:rPr>
          <w:rFonts w:ascii="Calibri" w:eastAsia="Calibri" w:hAnsi="Calibri" w:cs="Calibri"/>
          <w:b/>
          <w:sz w:val="52"/>
        </w:rPr>
        <w:t xml:space="preserve">uravnotežen </w:t>
      </w:r>
      <w:r w:rsidRPr="00BB0D2D">
        <w:rPr>
          <w:rFonts w:ascii="Calibri" w:eastAsia="Calibri" w:hAnsi="Calibri" w:cs="Calibri"/>
          <w:sz w:val="52"/>
        </w:rPr>
        <w:t>, što znači da</w:t>
      </w:r>
      <w:r w:rsidRPr="00BB0D2D">
        <w:rPr>
          <w:rFonts w:ascii="Calibri" w:eastAsia="Calibri" w:hAnsi="Calibri" w:cs="Calibri"/>
          <w:b/>
          <w:sz w:val="52"/>
        </w:rPr>
        <w:t xml:space="preserve"> </w:t>
      </w:r>
      <w:r w:rsidRPr="00BB0D2D">
        <w:rPr>
          <w:rFonts w:ascii="Calibri" w:eastAsia="Calibri" w:hAnsi="Calibri" w:cs="Calibri"/>
          <w:sz w:val="52"/>
        </w:rPr>
        <w:t xml:space="preserve">ukupna </w:t>
      </w:r>
      <w:r w:rsidRPr="00BB0D2D">
        <w:rPr>
          <w:rFonts w:ascii="Calibri" w:eastAsia="Calibri" w:hAnsi="Calibri" w:cs="Calibri"/>
          <w:b/>
          <w:sz w:val="52"/>
        </w:rPr>
        <w:t>visina planiranih prihoda mora biti istovjetna ukupnoj visini planiranih rashoda</w:t>
      </w:r>
    </w:p>
    <w:p w:rsidR="00AA3761" w:rsidRDefault="00AA3761">
      <w:pPr>
        <w:spacing w:after="0" w:line="240" w:lineRule="auto"/>
        <w:ind w:left="720"/>
        <w:rPr>
          <w:rFonts w:ascii="Calibri" w:eastAsia="Calibri" w:hAnsi="Calibri" w:cs="Calibri"/>
          <w:b/>
          <w:sz w:val="52"/>
        </w:rPr>
      </w:pPr>
    </w:p>
    <w:p w:rsidR="00AA3761" w:rsidRPr="00BB0D2D" w:rsidRDefault="00BB0D2D" w:rsidP="00BB0D2D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 xml:space="preserve">određeni rashodi mogu se financirati isključivo iz </w:t>
      </w:r>
      <w:r w:rsidRPr="00BB0D2D">
        <w:rPr>
          <w:rFonts w:ascii="Calibri" w:eastAsia="Calibri" w:hAnsi="Calibri" w:cs="Calibri"/>
          <w:sz w:val="54"/>
        </w:rPr>
        <w:t>određenih prihoda – namjenski prihodi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40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</w:t>
      </w:r>
    </w:p>
    <w:p w:rsidR="00A34F4D" w:rsidRDefault="00A34F4D">
      <w:pPr>
        <w:spacing w:after="0" w:line="240" w:lineRule="auto"/>
        <w:rPr>
          <w:rFonts w:ascii="Calibri" w:eastAsia="Calibri" w:hAnsi="Calibri" w:cs="Calibri"/>
          <w:sz w:val="40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54"/>
        </w:rPr>
      </w:pPr>
      <w:r>
        <w:rPr>
          <w:rFonts w:ascii="Calibri" w:eastAsia="Calibri" w:hAnsi="Calibri" w:cs="Calibri"/>
          <w:b/>
          <w:sz w:val="54"/>
        </w:rPr>
        <w:lastRenderedPageBreak/>
        <w:t>PRIHODI PRORAČUNA</w:t>
      </w:r>
    </w:p>
    <w:p w:rsidR="00AA3761" w:rsidRDefault="00BB0D2D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>prihodi od prodaje imovine -isključivo za kapitalna ulaganja - investicije,</w:t>
      </w:r>
    </w:p>
    <w:p w:rsidR="00AA3761" w:rsidRDefault="00BB0D2D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>komunalni prihodi -isključivo za komunalne programe, komunalni doprinos - gradnja objekata i uređaja komunalne infrastrukture</w:t>
      </w:r>
    </w:p>
    <w:p w:rsidR="00AA3761" w:rsidRDefault="00BB0D2D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>Komunalna naknada - održavanje objekata i uređaja komunalne infrastrukture</w:t>
      </w:r>
    </w:p>
    <w:p w:rsidR="00AA3761" w:rsidRDefault="00BB0D2D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>Spomenička renta -zaštita i očuvanje kulturnih dobara(parkovi, obnove fasada i krovova i sl)</w:t>
      </w:r>
    </w:p>
    <w:p w:rsidR="00AA3761" w:rsidRDefault="00BB0D2D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 xml:space="preserve">nenamjenski prihodi (porezi, ostali prihodi) moguće je financirati sve vrste rashoda, a u </w:t>
      </w:r>
      <w:r w:rsidR="00A34F4D">
        <w:rPr>
          <w:rFonts w:ascii="Calibri" w:eastAsia="Calibri" w:hAnsi="Calibri" w:cs="Calibri"/>
          <w:sz w:val="54"/>
        </w:rPr>
        <w:t>Općini Slavonski Šamac</w:t>
      </w:r>
      <w:r>
        <w:rPr>
          <w:rFonts w:ascii="Calibri" w:eastAsia="Calibri" w:hAnsi="Calibri" w:cs="Calibri"/>
          <w:sz w:val="54"/>
        </w:rPr>
        <w:t xml:space="preserve"> uglavnom se troše za: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lastRenderedPageBreak/>
        <w:tab/>
        <w:t xml:space="preserve">- javne potrebe 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ab/>
        <w:t>- materijalne rashode općine, rashode za zaposlene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ab/>
        <w:t>- pokriće nedostatka komunalnih prihoda u održavanju komunalne infrastrukture (Program održavanja komunalne infrastrukture viši je od prihoda koji se naplate za tu</w:t>
      </w:r>
    </w:p>
    <w:p w:rsidR="00A34F4D" w:rsidRDefault="00BB0D2D">
      <w:pPr>
        <w:spacing w:after="0" w:line="240" w:lineRule="auto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>namjenu)</w:t>
      </w:r>
    </w:p>
    <w:p w:rsidR="00A34F4D" w:rsidRDefault="00A34F4D" w:rsidP="00A34F4D">
      <w:pPr>
        <w:pStyle w:val="Odlomakpopisa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sz w:val="54"/>
        </w:rPr>
      </w:pPr>
      <w:r>
        <w:rPr>
          <w:rFonts w:ascii="Calibri" w:eastAsia="Calibri" w:hAnsi="Calibri" w:cs="Calibri"/>
          <w:sz w:val="54"/>
        </w:rPr>
        <w:t>prihodi od pomoći (fiskalno izravnanje i kapitalne pomoći)</w:t>
      </w:r>
    </w:p>
    <w:p w:rsidR="00A34F4D" w:rsidRPr="00A34F4D" w:rsidRDefault="00A34F4D" w:rsidP="00A34F4D">
      <w:pPr>
        <w:pStyle w:val="Odlomakpopisa"/>
        <w:spacing w:after="0" w:line="240" w:lineRule="auto"/>
        <w:rPr>
          <w:rFonts w:ascii="Calibri" w:eastAsia="Calibri" w:hAnsi="Calibri" w:cs="Calibri"/>
          <w:sz w:val="54"/>
        </w:rPr>
      </w:pPr>
    </w:p>
    <w:p w:rsidR="00AA3761" w:rsidRDefault="00AA3761">
      <w:pPr>
        <w:spacing w:after="0" w:line="240" w:lineRule="auto"/>
        <w:rPr>
          <w:rFonts w:ascii="Constantia" w:eastAsia="Constantia" w:hAnsi="Constantia" w:cs="Constantia"/>
          <w:sz w:val="36"/>
        </w:rPr>
      </w:pPr>
    </w:p>
    <w:p w:rsidR="00A34F4D" w:rsidRDefault="00A34F4D">
      <w:pPr>
        <w:spacing w:after="0" w:line="240" w:lineRule="auto"/>
        <w:rPr>
          <w:rFonts w:ascii="Constantia" w:eastAsia="Constantia" w:hAnsi="Constantia" w:cs="Constantia"/>
          <w:sz w:val="36"/>
        </w:rPr>
      </w:pPr>
    </w:p>
    <w:p w:rsidR="00A34F4D" w:rsidRDefault="00A34F4D">
      <w:pPr>
        <w:spacing w:after="0" w:line="240" w:lineRule="auto"/>
        <w:rPr>
          <w:rFonts w:ascii="Constantia" w:eastAsia="Constantia" w:hAnsi="Constantia" w:cs="Constantia"/>
          <w:sz w:val="36"/>
        </w:rPr>
      </w:pPr>
    </w:p>
    <w:p w:rsidR="00A34F4D" w:rsidRDefault="00A34F4D">
      <w:pPr>
        <w:spacing w:after="0" w:line="240" w:lineRule="auto"/>
        <w:rPr>
          <w:rFonts w:ascii="Constantia" w:eastAsia="Constantia" w:hAnsi="Constantia" w:cs="Constantia"/>
          <w:sz w:val="36"/>
        </w:rPr>
      </w:pPr>
    </w:p>
    <w:p w:rsidR="00A34F4D" w:rsidRDefault="00A34F4D">
      <w:pPr>
        <w:spacing w:after="0" w:line="240" w:lineRule="auto"/>
        <w:rPr>
          <w:rFonts w:ascii="Constantia" w:eastAsia="Constantia" w:hAnsi="Constantia" w:cs="Constantia"/>
          <w:sz w:val="36"/>
        </w:rPr>
      </w:pPr>
    </w:p>
    <w:p w:rsidR="00A34F4D" w:rsidRDefault="00A34F4D">
      <w:pPr>
        <w:spacing w:after="0" w:line="240" w:lineRule="auto"/>
        <w:rPr>
          <w:rFonts w:ascii="Constantia" w:eastAsia="Constantia" w:hAnsi="Constantia" w:cs="Constantia"/>
          <w:sz w:val="36"/>
        </w:rPr>
      </w:pPr>
    </w:p>
    <w:p w:rsidR="00A34F4D" w:rsidRDefault="00A34F4D">
      <w:pPr>
        <w:spacing w:after="0" w:line="240" w:lineRule="auto"/>
        <w:rPr>
          <w:rFonts w:ascii="Constantia" w:eastAsia="Constantia" w:hAnsi="Constantia" w:cs="Constantia"/>
          <w:sz w:val="36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color w:val="1F4E79"/>
          <w:sz w:val="72"/>
          <w:u w:val="single"/>
        </w:rPr>
      </w:pPr>
      <w:r>
        <w:rPr>
          <w:rFonts w:ascii="Calibri" w:eastAsia="Calibri" w:hAnsi="Calibri" w:cs="Calibri"/>
          <w:color w:val="1F4E79"/>
          <w:sz w:val="72"/>
          <w:u w:val="single"/>
        </w:rPr>
        <w:lastRenderedPageBreak/>
        <w:t>Važno je znati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b/>
          <w:sz w:val="52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RASHODI PRORAČUNA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b/>
          <w:sz w:val="52"/>
        </w:rPr>
        <w:t>Zadani rashodi (zakonske obveze JLS)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Predškolski odgoj,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Osnovno školsko obrazovanje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Dodatni programi i predškolskom odgoju i osnovnoškolskom obrazovanju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Srednjoškolsko i visoko obrazovanje (stipendije, prijevoz i sl.)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Održavanje objekata i uređaja komunalne infrastrukture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Gradnja objekata i uređaja komunalne infrastrukture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Protupožarna zaštita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Izrada prostornih planova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lastRenderedPageBreak/>
        <w:t>Plaće i materijalni rashodi stručnih tijela JLS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Manifestacije, redovan rad udruga u kulturi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Sport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Kultura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Socijalni programi i zdravstvena zaštita</w:t>
      </w:r>
    </w:p>
    <w:p w:rsidR="00AA3761" w:rsidRDefault="00BB0D2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Tehnička kultura</w:t>
      </w:r>
    </w:p>
    <w:p w:rsidR="00A7550A" w:rsidRDefault="00BB0D2D" w:rsidP="00A34F4D">
      <w:pPr>
        <w:numPr>
          <w:ilvl w:val="0"/>
          <w:numId w:val="13"/>
        </w:numPr>
        <w:spacing w:after="0" w:line="240" w:lineRule="auto"/>
        <w:ind w:left="765" w:hanging="360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Srednjoškolsko i visoko obrazovanje (stipendije, prijevoz i sl)</w:t>
      </w:r>
      <w:r w:rsidR="00A34F4D">
        <w:rPr>
          <w:rFonts w:ascii="Calibri" w:eastAsia="Calibri" w:hAnsi="Calibri" w:cs="Calibri"/>
          <w:sz w:val="52"/>
        </w:rPr>
        <w:t>.</w:t>
      </w:r>
    </w:p>
    <w:p w:rsidR="00A34F4D" w:rsidRPr="00A34F4D" w:rsidRDefault="00A34F4D" w:rsidP="00A34F4D">
      <w:pPr>
        <w:spacing w:after="0" w:line="240" w:lineRule="auto"/>
        <w:ind w:left="765"/>
        <w:rPr>
          <w:rFonts w:ascii="Calibri" w:eastAsia="Calibri" w:hAnsi="Calibri" w:cs="Calibri"/>
          <w:sz w:val="52"/>
        </w:rPr>
      </w:pPr>
    </w:p>
    <w:p w:rsidR="00AA3761" w:rsidRPr="00BB5EB0" w:rsidRDefault="00BB0D2D">
      <w:pPr>
        <w:spacing w:after="0" w:line="240" w:lineRule="auto"/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</w:pPr>
      <w:r w:rsidRPr="00BB5EB0"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  <w:t>Da li se proračun može mijenjati?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b/>
          <w:sz w:val="56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 xml:space="preserve">- Proračun se , sukladno Zakonu, može mijenjati tijekom proračunske godine na način koji se zove </w:t>
      </w:r>
      <w:r>
        <w:rPr>
          <w:rFonts w:ascii="Calibri" w:eastAsia="Calibri" w:hAnsi="Calibri" w:cs="Calibri"/>
          <w:b/>
          <w:sz w:val="56"/>
        </w:rPr>
        <w:t xml:space="preserve">„rebalans“. </w:t>
      </w:r>
      <w:r>
        <w:rPr>
          <w:rFonts w:ascii="Calibri" w:eastAsia="Calibri" w:hAnsi="Calibri" w:cs="Calibri"/>
          <w:sz w:val="56"/>
        </w:rPr>
        <w:lastRenderedPageBreak/>
        <w:t>Procedura izmjena i /ili dopuna Proračuna istovjetna je proceduri njegova donošenja: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56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„Rebalans” predlaže načelnik, a donosi ga Općinsko vijeće.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56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Tijekom proračunske godine, a u slučaju da se, zbog nastanka novih obveza za proračun ili promjena gospodarskih kretanja, povećaju rashodi i/ili izdaci odnosno smanje prihodi i/ili primici, načelnik može na prijedlog Upravnog odjela/ Jedinstvenog upravnog odjela nadležnog za financije obustaviti izvršavanje pojedinih rashoda i/ili izdataka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- Privremene mjere mogu trajati najviše 45 dana.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56"/>
        </w:rPr>
      </w:pPr>
    </w:p>
    <w:p w:rsidR="00AA3761" w:rsidRPr="00D85826" w:rsidRDefault="00BB0D2D">
      <w:pPr>
        <w:spacing w:after="0" w:line="240" w:lineRule="auto"/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</w:pPr>
      <w:r w:rsidRPr="00D85826"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  <w:lastRenderedPageBreak/>
        <w:t>Kako se Općina može zaduživati?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b/>
          <w:sz w:val="56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Općina se može dugoročno zaduživati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sz w:val="56"/>
        </w:rPr>
        <w:t xml:space="preserve">- </w:t>
      </w:r>
      <w:r>
        <w:rPr>
          <w:rFonts w:ascii="Calibri" w:eastAsia="Calibri" w:hAnsi="Calibri" w:cs="Calibri"/>
          <w:b/>
          <w:sz w:val="56"/>
        </w:rPr>
        <w:t>Isključivo za kapitalne investicije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sz w:val="56"/>
        </w:rPr>
        <w:t xml:space="preserve">- </w:t>
      </w:r>
      <w:r>
        <w:rPr>
          <w:rFonts w:ascii="Calibri" w:eastAsia="Calibri" w:hAnsi="Calibri" w:cs="Calibri"/>
          <w:b/>
          <w:sz w:val="56"/>
        </w:rPr>
        <w:t>Investicija planirana u Proračunu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sz w:val="56"/>
        </w:rPr>
        <w:t xml:space="preserve">- </w:t>
      </w:r>
      <w:r>
        <w:rPr>
          <w:rFonts w:ascii="Calibri" w:eastAsia="Calibri" w:hAnsi="Calibri" w:cs="Calibri"/>
          <w:b/>
          <w:sz w:val="56"/>
        </w:rPr>
        <w:t>Prethodna suglasnost Općinskog vijeća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b/>
          <w:sz w:val="56"/>
        </w:rPr>
      </w:pPr>
      <w:r>
        <w:rPr>
          <w:rFonts w:ascii="Calibri" w:eastAsia="Calibri" w:hAnsi="Calibri" w:cs="Calibri"/>
          <w:sz w:val="56"/>
        </w:rPr>
        <w:t xml:space="preserve">- </w:t>
      </w:r>
      <w:r>
        <w:rPr>
          <w:rFonts w:ascii="Calibri" w:eastAsia="Calibri" w:hAnsi="Calibri" w:cs="Calibri"/>
          <w:b/>
          <w:sz w:val="56"/>
        </w:rPr>
        <w:t>Suglasnost Vlade RH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 xml:space="preserve">- </w:t>
      </w:r>
      <w:r>
        <w:rPr>
          <w:rFonts w:ascii="Calibri" w:eastAsia="Calibri" w:hAnsi="Calibri" w:cs="Calibri"/>
          <w:b/>
          <w:sz w:val="56"/>
        </w:rPr>
        <w:t xml:space="preserve">Ukupan opseg zaduženja </w:t>
      </w:r>
      <w:r>
        <w:rPr>
          <w:rFonts w:ascii="Calibri" w:eastAsia="Calibri" w:hAnsi="Calibri" w:cs="Calibri"/>
          <w:sz w:val="56"/>
        </w:rPr>
        <w:t xml:space="preserve">(godišnja obveza anuiteta po zaduženju Općine kao i anuiteta po danim jamstvima i suglasnostima(trgovačkim društvima i ustanovama Općine) </w:t>
      </w:r>
      <w:r>
        <w:rPr>
          <w:rFonts w:ascii="Calibri" w:eastAsia="Calibri" w:hAnsi="Calibri" w:cs="Calibri"/>
          <w:b/>
          <w:sz w:val="56"/>
        </w:rPr>
        <w:t xml:space="preserve">ne smije prelaziti 20% prihoda proračuna </w:t>
      </w:r>
      <w:r>
        <w:rPr>
          <w:rFonts w:ascii="Calibri" w:eastAsia="Calibri" w:hAnsi="Calibri" w:cs="Calibri"/>
          <w:sz w:val="56"/>
        </w:rPr>
        <w:t>(bez prihoda od domaćih i stranih pomoći, donacija, sufinanciranja građana )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Općina se može kratkoročno zaduživati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lastRenderedPageBreak/>
        <w:t>- Bez posebnih suglasnosti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- Pokriće nelikvidnosti</w:t>
      </w: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- Unutar jedne godine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56"/>
        </w:rPr>
      </w:pPr>
    </w:p>
    <w:p w:rsidR="00106858" w:rsidRDefault="00106858">
      <w:pPr>
        <w:spacing w:after="0" w:line="240" w:lineRule="auto"/>
        <w:rPr>
          <w:rFonts w:ascii="Calibri" w:eastAsia="Calibri" w:hAnsi="Calibri" w:cs="Calibri"/>
          <w:sz w:val="56"/>
        </w:rPr>
      </w:pPr>
    </w:p>
    <w:p w:rsidR="00AA3761" w:rsidRPr="00BB5EB0" w:rsidRDefault="00BB0D2D">
      <w:pPr>
        <w:spacing w:after="0" w:line="240" w:lineRule="auto"/>
        <w:rPr>
          <w:rFonts w:ascii="Calibri" w:eastAsia="Calibri" w:hAnsi="Calibri" w:cs="Calibri"/>
          <w:b/>
          <w:i/>
          <w:color w:val="538135" w:themeColor="accent6" w:themeShade="BF"/>
          <w:sz w:val="56"/>
          <w:u w:val="single"/>
        </w:rPr>
      </w:pPr>
      <w:r w:rsidRPr="00BB5EB0">
        <w:rPr>
          <w:rFonts w:ascii="Calibri" w:eastAsia="Calibri" w:hAnsi="Calibri" w:cs="Calibri"/>
          <w:b/>
          <w:i/>
          <w:color w:val="538135" w:themeColor="accent6" w:themeShade="BF"/>
          <w:sz w:val="56"/>
          <w:u w:val="single"/>
        </w:rPr>
        <w:t xml:space="preserve">Smjernice i </w:t>
      </w:r>
      <w:r w:rsidR="00A7550A">
        <w:rPr>
          <w:rFonts w:ascii="Calibri" w:eastAsia="Calibri" w:hAnsi="Calibri" w:cs="Calibri"/>
          <w:b/>
          <w:i/>
          <w:color w:val="538135" w:themeColor="accent6" w:themeShade="BF"/>
          <w:sz w:val="56"/>
          <w:u w:val="single"/>
        </w:rPr>
        <w:t>obrazloženje uz proračun za 2025</w:t>
      </w:r>
      <w:r w:rsidRPr="00BB5EB0">
        <w:rPr>
          <w:rFonts w:ascii="Calibri" w:eastAsia="Calibri" w:hAnsi="Calibri" w:cs="Calibri"/>
          <w:b/>
          <w:i/>
          <w:color w:val="538135" w:themeColor="accent6" w:themeShade="BF"/>
          <w:sz w:val="56"/>
          <w:u w:val="single"/>
        </w:rPr>
        <w:t>. godinu</w:t>
      </w:r>
    </w:p>
    <w:p w:rsidR="00AA3761" w:rsidRPr="00BB0D2D" w:rsidRDefault="00AA3761">
      <w:pPr>
        <w:spacing w:after="0" w:line="240" w:lineRule="auto"/>
        <w:rPr>
          <w:rFonts w:eastAsia="Calibri" w:cstheme="minorHAnsi"/>
          <w:sz w:val="56"/>
          <w:szCs w:val="56"/>
        </w:rPr>
      </w:pPr>
    </w:p>
    <w:p w:rsidR="00106858" w:rsidRDefault="00106858" w:rsidP="00F36AF0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56"/>
          <w:szCs w:val="56"/>
        </w:rPr>
      </w:pPr>
      <w:r w:rsidRPr="00106858">
        <w:rPr>
          <w:rFonts w:ascii="Times New Roman" w:eastAsia="Times New Roman" w:hAnsi="Times New Roman" w:cs="Times New Roman"/>
          <w:sz w:val="56"/>
          <w:szCs w:val="56"/>
        </w:rPr>
        <w:t>Proraču</w:t>
      </w:r>
      <w:r w:rsidR="00A34F4D">
        <w:rPr>
          <w:rFonts w:ascii="Times New Roman" w:eastAsia="Times New Roman" w:hAnsi="Times New Roman" w:cs="Times New Roman"/>
          <w:sz w:val="56"/>
          <w:szCs w:val="56"/>
        </w:rPr>
        <w:t xml:space="preserve">n </w:t>
      </w:r>
      <w:r w:rsidR="00F36AF0">
        <w:rPr>
          <w:rFonts w:ascii="Times New Roman" w:eastAsia="Times New Roman" w:hAnsi="Times New Roman" w:cs="Times New Roman"/>
          <w:sz w:val="56"/>
          <w:szCs w:val="56"/>
        </w:rPr>
        <w:t>O</w:t>
      </w:r>
      <w:r w:rsidR="00A34F4D">
        <w:rPr>
          <w:rFonts w:ascii="Times New Roman" w:eastAsia="Times New Roman" w:hAnsi="Times New Roman" w:cs="Times New Roman"/>
          <w:sz w:val="56"/>
          <w:szCs w:val="56"/>
        </w:rPr>
        <w:t>pćine Slavonski Šamac za 2026</w:t>
      </w:r>
      <w:r w:rsidRPr="00106858">
        <w:rPr>
          <w:rFonts w:ascii="Times New Roman" w:eastAsia="Times New Roman" w:hAnsi="Times New Roman" w:cs="Times New Roman"/>
          <w:sz w:val="56"/>
          <w:szCs w:val="56"/>
        </w:rPr>
        <w:t xml:space="preserve">.g., </w:t>
      </w:r>
      <w:r w:rsidR="00F36AF0">
        <w:rPr>
          <w:rFonts w:ascii="Times New Roman" w:eastAsia="Times New Roman" w:hAnsi="Times New Roman" w:cs="Times New Roman"/>
          <w:sz w:val="56"/>
          <w:szCs w:val="56"/>
        </w:rPr>
        <w:t>izrađen</w:t>
      </w:r>
      <w:r w:rsidRPr="00106858">
        <w:rPr>
          <w:rFonts w:ascii="Times New Roman" w:eastAsia="Times New Roman" w:hAnsi="Times New Roman" w:cs="Times New Roman"/>
          <w:sz w:val="56"/>
          <w:szCs w:val="56"/>
        </w:rPr>
        <w:t xml:space="preserve"> je  i usklađen sa svim zakonskim obvezama, potrebnim pravilnicima i propisima, te prema  Zakonu o financiranju jedinica lokalne i podr</w:t>
      </w:r>
      <w:bookmarkStart w:id="0" w:name="_GoBack"/>
      <w:bookmarkEnd w:id="0"/>
      <w:r w:rsidRPr="00106858">
        <w:rPr>
          <w:rFonts w:ascii="Times New Roman" w:eastAsia="Times New Roman" w:hAnsi="Times New Roman" w:cs="Times New Roman"/>
          <w:sz w:val="56"/>
          <w:szCs w:val="56"/>
        </w:rPr>
        <w:t xml:space="preserve">učne (regionalne) samouprave, a u okvirima realne situacije na području Brodsko posavske </w:t>
      </w:r>
      <w:r w:rsidRPr="00106858">
        <w:rPr>
          <w:rFonts w:ascii="Times New Roman" w:eastAsia="Times New Roman" w:hAnsi="Times New Roman" w:cs="Times New Roman"/>
          <w:sz w:val="56"/>
          <w:szCs w:val="56"/>
        </w:rPr>
        <w:lastRenderedPageBreak/>
        <w:t>županije i Republike Hrvatske.  Don</w:t>
      </w:r>
      <w:r w:rsidR="00BB5EB0">
        <w:rPr>
          <w:rFonts w:ascii="Times New Roman" w:eastAsia="Times New Roman" w:hAnsi="Times New Roman" w:cs="Times New Roman"/>
          <w:sz w:val="56"/>
          <w:szCs w:val="56"/>
        </w:rPr>
        <w:t>ošenjem plana  Proračuna za 20</w:t>
      </w:r>
      <w:r w:rsidR="00A34F4D">
        <w:rPr>
          <w:rFonts w:ascii="Times New Roman" w:eastAsia="Times New Roman" w:hAnsi="Times New Roman" w:cs="Times New Roman"/>
          <w:sz w:val="56"/>
          <w:szCs w:val="56"/>
        </w:rPr>
        <w:t>26</w:t>
      </w:r>
      <w:r w:rsidRPr="00106858">
        <w:rPr>
          <w:rFonts w:ascii="Times New Roman" w:eastAsia="Times New Roman" w:hAnsi="Times New Roman" w:cs="Times New Roman"/>
          <w:sz w:val="56"/>
          <w:szCs w:val="56"/>
        </w:rPr>
        <w:t>.g., pokušat će se uskladiti izvršavanje već zadanih i preuzetih obveza, ali isto tako i iskoristi</w:t>
      </w:r>
      <w:r w:rsidR="00A34F4D">
        <w:rPr>
          <w:rFonts w:ascii="Times New Roman" w:eastAsia="Times New Roman" w:hAnsi="Times New Roman" w:cs="Times New Roman"/>
          <w:sz w:val="56"/>
          <w:szCs w:val="56"/>
        </w:rPr>
        <w:t>ti dane mogućnosti u tijeku 2026</w:t>
      </w:r>
      <w:r w:rsidRPr="00106858">
        <w:rPr>
          <w:rFonts w:ascii="Times New Roman" w:eastAsia="Times New Roman" w:hAnsi="Times New Roman" w:cs="Times New Roman"/>
          <w:sz w:val="56"/>
          <w:szCs w:val="56"/>
        </w:rPr>
        <w:t xml:space="preserve">.g.  Prihodi i rashodi, planirani su na bazi </w:t>
      </w:r>
      <w:r w:rsidR="00A7550A">
        <w:rPr>
          <w:rFonts w:ascii="Times New Roman" w:eastAsia="Times New Roman" w:hAnsi="Times New Roman" w:cs="Times New Roman"/>
          <w:sz w:val="56"/>
          <w:szCs w:val="56"/>
        </w:rPr>
        <w:t>dosad</w:t>
      </w:r>
      <w:r w:rsidR="00A34F4D">
        <w:rPr>
          <w:rFonts w:ascii="Times New Roman" w:eastAsia="Times New Roman" w:hAnsi="Times New Roman" w:cs="Times New Roman"/>
          <w:sz w:val="56"/>
          <w:szCs w:val="56"/>
        </w:rPr>
        <w:t>ašnjeg ostvarenja proračuna 2025</w:t>
      </w:r>
      <w:r w:rsidRPr="00106858">
        <w:rPr>
          <w:rFonts w:ascii="Times New Roman" w:eastAsia="Times New Roman" w:hAnsi="Times New Roman" w:cs="Times New Roman"/>
          <w:sz w:val="56"/>
          <w:szCs w:val="56"/>
        </w:rPr>
        <w:t>.g., što je samo po sebi dobar izvor za  planiranje ukupnog proračuna. Svi ka</w:t>
      </w:r>
      <w:r w:rsidR="00A34F4D">
        <w:rPr>
          <w:rFonts w:ascii="Times New Roman" w:eastAsia="Times New Roman" w:hAnsi="Times New Roman" w:cs="Times New Roman"/>
          <w:sz w:val="56"/>
          <w:szCs w:val="56"/>
        </w:rPr>
        <w:t>pitalni rashodi planirani u 2026</w:t>
      </w:r>
      <w:r w:rsidRPr="00106858">
        <w:rPr>
          <w:rFonts w:ascii="Times New Roman" w:eastAsia="Times New Roman" w:hAnsi="Times New Roman" w:cs="Times New Roman"/>
          <w:sz w:val="56"/>
          <w:szCs w:val="56"/>
        </w:rPr>
        <w:t>.g. (posebice izgradnja komunalne infrastrukture koja se sufinancira kroz kapitalne pomoći), planirani su sukladno dokumentaciji koja je napravljena u prethodnim godinama, a bitna je za sam početak investicije za koju se općina kandidira preko Državnog proračuna, te ostalih fondova RH  i EU.</w:t>
      </w:r>
    </w:p>
    <w:p w:rsidR="00AA3761" w:rsidRPr="00D85826" w:rsidRDefault="00BB0D2D">
      <w:pPr>
        <w:spacing w:after="0" w:line="240" w:lineRule="auto"/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</w:pPr>
      <w:r w:rsidRPr="00D85826"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  <w:lastRenderedPageBreak/>
        <w:t>CILJEVI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56"/>
        </w:rPr>
      </w:pPr>
    </w:p>
    <w:p w:rsidR="00AA3761" w:rsidRDefault="00BB0D2D">
      <w:pPr>
        <w:spacing w:after="0" w:line="240" w:lineRule="auto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Osnovni cilj proračunskog</w:t>
      </w:r>
      <w:r w:rsidR="00A34F4D">
        <w:rPr>
          <w:rFonts w:ascii="Calibri" w:eastAsia="Calibri" w:hAnsi="Calibri" w:cs="Calibri"/>
          <w:sz w:val="56"/>
        </w:rPr>
        <w:t>a planiranja proračuna za 2026</w:t>
      </w:r>
      <w:r w:rsidR="00BB5EB0">
        <w:rPr>
          <w:rFonts w:ascii="Calibri" w:eastAsia="Calibri" w:hAnsi="Calibri" w:cs="Calibri"/>
          <w:sz w:val="56"/>
        </w:rPr>
        <w:t>.</w:t>
      </w:r>
      <w:r>
        <w:rPr>
          <w:rFonts w:ascii="Calibri" w:eastAsia="Calibri" w:hAnsi="Calibri" w:cs="Calibri"/>
          <w:sz w:val="56"/>
        </w:rPr>
        <w:t xml:space="preserve"> godinu je osiguranje stabilnosti Proračuna, te razvoj kroz kapitalne investicije i kroz aktivnosti koje provodi civilni sektor. </w:t>
      </w:r>
    </w:p>
    <w:p w:rsidR="00AA3761" w:rsidRDefault="00AA3761">
      <w:pPr>
        <w:spacing w:after="0" w:line="240" w:lineRule="auto"/>
        <w:rPr>
          <w:rFonts w:ascii="Calibri" w:eastAsia="Calibri" w:hAnsi="Calibri" w:cs="Calibri"/>
          <w:sz w:val="56"/>
        </w:rPr>
      </w:pPr>
    </w:p>
    <w:p w:rsidR="00AA3761" w:rsidRPr="00D85826" w:rsidRDefault="00BB0D2D">
      <w:pPr>
        <w:spacing w:after="0" w:line="240" w:lineRule="auto"/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</w:pPr>
      <w:r w:rsidRPr="00D85826"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  <w:t>Pozitivni pokazatelji:</w:t>
      </w:r>
    </w:p>
    <w:p w:rsidR="00AA3761" w:rsidRDefault="00BB0D2D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 xml:space="preserve">Povećanje prihoda </w:t>
      </w:r>
    </w:p>
    <w:p w:rsidR="00AA3761" w:rsidRDefault="00BB0D2D">
      <w:pPr>
        <w:numPr>
          <w:ilvl w:val="0"/>
          <w:numId w:val="14"/>
        </w:numPr>
        <w:spacing w:after="0" w:line="240" w:lineRule="auto"/>
        <w:ind w:left="720" w:hanging="360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završetak započetih kapitalnih ulaganja, te otvaranje radova na novim kapitalnim ulaganjima</w:t>
      </w:r>
    </w:p>
    <w:p w:rsidR="00A34F4D" w:rsidRDefault="00A34F4D" w:rsidP="00A34F4D">
      <w:pPr>
        <w:spacing w:after="0" w:line="240" w:lineRule="auto"/>
        <w:ind w:left="720"/>
        <w:rPr>
          <w:rFonts w:ascii="Calibri" w:eastAsia="Calibri" w:hAnsi="Calibri" w:cs="Calibri"/>
          <w:sz w:val="56"/>
        </w:rPr>
      </w:pPr>
    </w:p>
    <w:p w:rsidR="00A34F4D" w:rsidRDefault="00A34F4D" w:rsidP="00A34F4D">
      <w:pPr>
        <w:spacing w:after="0" w:line="240" w:lineRule="auto"/>
        <w:ind w:left="720"/>
        <w:rPr>
          <w:rFonts w:ascii="Calibri" w:eastAsia="Calibri" w:hAnsi="Calibri" w:cs="Calibri"/>
          <w:sz w:val="56"/>
        </w:rPr>
      </w:pPr>
    </w:p>
    <w:p w:rsidR="00AA3761" w:rsidRPr="00D85826" w:rsidRDefault="00BB0D2D">
      <w:pPr>
        <w:spacing w:after="0" w:line="240" w:lineRule="auto"/>
        <w:jc w:val="both"/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</w:pPr>
      <w:r w:rsidRPr="00D85826">
        <w:rPr>
          <w:rFonts w:ascii="Calibri" w:eastAsia="Calibri" w:hAnsi="Calibri" w:cs="Calibri"/>
          <w:b/>
          <w:color w:val="538135" w:themeColor="accent6" w:themeShade="BF"/>
          <w:sz w:val="56"/>
          <w:u w:val="single"/>
        </w:rPr>
        <w:lastRenderedPageBreak/>
        <w:t>Negativni pokazatelji:</w:t>
      </w:r>
    </w:p>
    <w:p w:rsidR="00AA3761" w:rsidRDefault="00BB0D2D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nezaposlenost, te odlazak radno aktivnog stanovništva na rad izvan zemlje (EU)</w:t>
      </w:r>
    </w:p>
    <w:p w:rsidR="00AA3761" w:rsidRDefault="00BB0D2D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Niski primanja zaposlenih osoba</w:t>
      </w:r>
    </w:p>
    <w:p w:rsidR="00AA3761" w:rsidRDefault="00BB0D2D">
      <w:pPr>
        <w:numPr>
          <w:ilvl w:val="0"/>
          <w:numId w:val="15"/>
        </w:numPr>
        <w:spacing w:after="0" w:line="240" w:lineRule="auto"/>
        <w:ind w:left="720" w:hanging="360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sz w:val="56"/>
        </w:rPr>
        <w:t>Teško predvidiv učinak punjenja prihodovne strane iz kapitalnih pomoći temeljem prijenosa EU sredstava zbog sporije dinamike objavljivanja natječaja, te donošenja odluka o financiranju kandidiranih projekta.</w:t>
      </w:r>
    </w:p>
    <w:p w:rsidR="00D85826" w:rsidRDefault="00D85826" w:rsidP="00D85826">
      <w:pPr>
        <w:spacing w:after="0" w:line="240" w:lineRule="auto"/>
        <w:ind w:left="720"/>
        <w:rPr>
          <w:rFonts w:ascii="Calibri" w:eastAsia="Calibri" w:hAnsi="Calibri" w:cs="Calibri"/>
          <w:sz w:val="56"/>
        </w:rPr>
      </w:pPr>
    </w:p>
    <w:p w:rsidR="00106858" w:rsidRPr="00106858" w:rsidRDefault="00BB5EB0" w:rsidP="00106858">
      <w:pPr>
        <w:spacing w:after="0" w:line="240" w:lineRule="auto"/>
        <w:jc w:val="center"/>
        <w:rPr>
          <w:rFonts w:ascii="Calibri" w:eastAsia="Calibri" w:hAnsi="Calibri" w:cs="Calibri"/>
          <w:color w:val="C45911" w:themeColor="accent2" w:themeShade="BF"/>
          <w:sz w:val="56"/>
        </w:rPr>
      </w:pPr>
      <w:r>
        <w:rPr>
          <w:noProof/>
        </w:rPr>
        <w:lastRenderedPageBreak/>
        <w:drawing>
          <wp:inline distT="0" distB="0" distL="0" distR="0" wp14:anchorId="7BE54BF0" wp14:editId="190689C0">
            <wp:extent cx="8892540" cy="3468091"/>
            <wp:effectExtent l="0" t="0" r="3810" b="0"/>
            <wp:docPr id="2" name="Slika 2" descr="SB Online - foto: OPĆINA SLAVONSKI ŠAMAC ; Hrabre Bog čuva i vid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 Online - foto: OPĆINA SLAVONSKI ŠAMAC ; Hrabre Bog čuva i vidi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46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858" w:rsidRPr="00106858" w:rsidSect="00795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60F" w:rsidRDefault="009E360F" w:rsidP="004820A4">
      <w:pPr>
        <w:spacing w:after="0" w:line="240" w:lineRule="auto"/>
      </w:pPr>
      <w:r>
        <w:separator/>
      </w:r>
    </w:p>
  </w:endnote>
  <w:endnote w:type="continuationSeparator" w:id="0">
    <w:p w:rsidR="009E360F" w:rsidRDefault="009E360F" w:rsidP="0048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60F" w:rsidRDefault="009E360F" w:rsidP="004820A4">
      <w:pPr>
        <w:spacing w:after="0" w:line="240" w:lineRule="auto"/>
      </w:pPr>
      <w:r>
        <w:separator/>
      </w:r>
    </w:p>
  </w:footnote>
  <w:footnote w:type="continuationSeparator" w:id="0">
    <w:p w:rsidR="009E360F" w:rsidRDefault="009E360F" w:rsidP="00482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0E0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238D"/>
    <w:multiLevelType w:val="multilevel"/>
    <w:tmpl w:val="02E42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51AB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7D4ED7"/>
    <w:multiLevelType w:val="multilevel"/>
    <w:tmpl w:val="A99E9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104D0"/>
    <w:multiLevelType w:val="multilevel"/>
    <w:tmpl w:val="B6E63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A354AB"/>
    <w:multiLevelType w:val="hybridMultilevel"/>
    <w:tmpl w:val="21401A60"/>
    <w:lvl w:ilvl="0" w:tplc="4F48D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C7DCA"/>
    <w:multiLevelType w:val="multilevel"/>
    <w:tmpl w:val="0532C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FF67C8"/>
    <w:multiLevelType w:val="multilevel"/>
    <w:tmpl w:val="76867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45508B"/>
    <w:multiLevelType w:val="multilevel"/>
    <w:tmpl w:val="4398A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E64F43"/>
    <w:multiLevelType w:val="multilevel"/>
    <w:tmpl w:val="E684F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345167"/>
    <w:multiLevelType w:val="multilevel"/>
    <w:tmpl w:val="5A62E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29275A"/>
    <w:multiLevelType w:val="multilevel"/>
    <w:tmpl w:val="E11A3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A46B02"/>
    <w:multiLevelType w:val="hybridMultilevel"/>
    <w:tmpl w:val="FF18008C"/>
    <w:lvl w:ilvl="0" w:tplc="6B74B798">
      <w:start w:val="322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767CBE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BC310A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EA2BB8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B6AF1A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083624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427A5C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AEE464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9E314C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BBC5B1E"/>
    <w:multiLevelType w:val="multilevel"/>
    <w:tmpl w:val="9B4A1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513D7F"/>
    <w:multiLevelType w:val="multilevel"/>
    <w:tmpl w:val="F9A4C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13482B"/>
    <w:multiLevelType w:val="multilevel"/>
    <w:tmpl w:val="99328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A5444A"/>
    <w:multiLevelType w:val="hybridMultilevel"/>
    <w:tmpl w:val="1AF45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20C1E"/>
    <w:multiLevelType w:val="hybridMultilevel"/>
    <w:tmpl w:val="F61ACE36"/>
    <w:lvl w:ilvl="0" w:tplc="9B44FDC0">
      <w:start w:val="382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A823EA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E20EBA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D2CDDE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AC09A2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C8DF70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A87F9A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42FFD8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5253D0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B15057"/>
    <w:multiLevelType w:val="multilevel"/>
    <w:tmpl w:val="D562B8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023C5F"/>
    <w:multiLevelType w:val="multilevel"/>
    <w:tmpl w:val="8EE43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C2059C"/>
    <w:multiLevelType w:val="hybridMultilevel"/>
    <w:tmpl w:val="CE5A0DE6"/>
    <w:lvl w:ilvl="0" w:tplc="87845332">
      <w:start w:val="311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9CF5B4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824228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860910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02C2B8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968708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16ED6C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6703ED6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824FB6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8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9C54C65"/>
    <w:multiLevelType w:val="multilevel"/>
    <w:tmpl w:val="00E0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8"/>
  </w:num>
  <w:num w:numId="5">
    <w:abstractNumId w:val="11"/>
  </w:num>
  <w:num w:numId="6">
    <w:abstractNumId w:val="19"/>
  </w:num>
  <w:num w:numId="7">
    <w:abstractNumId w:val="21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6"/>
  </w:num>
  <w:num w:numId="13">
    <w:abstractNumId w:val="3"/>
  </w:num>
  <w:num w:numId="14">
    <w:abstractNumId w:val="10"/>
  </w:num>
  <w:num w:numId="15">
    <w:abstractNumId w:val="15"/>
  </w:num>
  <w:num w:numId="16">
    <w:abstractNumId w:val="2"/>
  </w:num>
  <w:num w:numId="17">
    <w:abstractNumId w:val="0"/>
  </w:num>
  <w:num w:numId="18">
    <w:abstractNumId w:val="17"/>
  </w:num>
  <w:num w:numId="19">
    <w:abstractNumId w:val="20"/>
  </w:num>
  <w:num w:numId="20">
    <w:abstractNumId w:val="12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61"/>
    <w:rsid w:val="000640EE"/>
    <w:rsid w:val="00106858"/>
    <w:rsid w:val="002D4E00"/>
    <w:rsid w:val="00402B4E"/>
    <w:rsid w:val="00471D82"/>
    <w:rsid w:val="004820A4"/>
    <w:rsid w:val="004E37B1"/>
    <w:rsid w:val="00705E6D"/>
    <w:rsid w:val="007957B0"/>
    <w:rsid w:val="00851835"/>
    <w:rsid w:val="009E360F"/>
    <w:rsid w:val="00A34F4D"/>
    <w:rsid w:val="00A70F34"/>
    <w:rsid w:val="00A7550A"/>
    <w:rsid w:val="00AA3761"/>
    <w:rsid w:val="00BB0D2D"/>
    <w:rsid w:val="00BB5EB0"/>
    <w:rsid w:val="00D85826"/>
    <w:rsid w:val="00F36AF0"/>
    <w:rsid w:val="00F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C6D07-CCF7-4E4A-A1B9-C8C631F0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402B4E"/>
    <w:pPr>
      <w:keepNext/>
      <w:keepLines/>
      <w:spacing w:after="103" w:line="240" w:lineRule="auto"/>
      <w:ind w:left="50" w:right="-14405" w:hanging="10"/>
      <w:outlineLvl w:val="0"/>
    </w:pPr>
    <w:rPr>
      <w:rFonts w:ascii="Times New Roman" w:eastAsia="Times New Roman" w:hAnsi="Times New Roman" w:cs="Times New Roman"/>
      <w:color w:val="000000"/>
      <w:sz w:val="20"/>
      <w:shd w:val="clear" w:color="auto" w:fill="DEF7A6"/>
    </w:rPr>
  </w:style>
  <w:style w:type="paragraph" w:styleId="Naslov2">
    <w:name w:val="heading 2"/>
    <w:next w:val="Normal"/>
    <w:link w:val="Naslov2Char"/>
    <w:uiPriority w:val="9"/>
    <w:unhideWhenUsed/>
    <w:qFormat/>
    <w:rsid w:val="00402B4E"/>
    <w:pPr>
      <w:keepNext/>
      <w:keepLines/>
      <w:spacing w:after="169" w:line="246" w:lineRule="auto"/>
      <w:ind w:left="228" w:right="-14438" w:hanging="10"/>
      <w:outlineLvl w:val="1"/>
    </w:pPr>
    <w:rPr>
      <w:rFonts w:ascii="Times New Roman" w:eastAsia="Times New Roman" w:hAnsi="Times New Roman" w:cs="Times New Roman"/>
      <w:color w:val="000000"/>
      <w:sz w:val="20"/>
      <w:shd w:val="clear" w:color="auto" w:fill="CEF4FD"/>
    </w:rPr>
  </w:style>
  <w:style w:type="paragraph" w:styleId="Naslov3">
    <w:name w:val="heading 3"/>
    <w:next w:val="Normal"/>
    <w:link w:val="Naslov3Char"/>
    <w:uiPriority w:val="9"/>
    <w:unhideWhenUsed/>
    <w:qFormat/>
    <w:rsid w:val="00402B4E"/>
    <w:pPr>
      <w:keepNext/>
      <w:keepLines/>
      <w:spacing w:after="42" w:line="240" w:lineRule="auto"/>
      <w:ind w:left="211" w:right="-15" w:hanging="10"/>
      <w:outlineLvl w:val="2"/>
    </w:pPr>
    <w:rPr>
      <w:rFonts w:ascii="Times New Roman" w:eastAsia="Times New Roman" w:hAnsi="Times New Roman" w:cs="Times New Roman"/>
      <w:color w:val="000000"/>
      <w:sz w:val="20"/>
      <w:shd w:val="clear" w:color="auto" w:fill="DDECF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2B4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2Char">
    <w:name w:val="Naslov 2 Char"/>
    <w:basedOn w:val="Zadanifontodlomka"/>
    <w:link w:val="Naslov2"/>
    <w:uiPriority w:val="9"/>
    <w:rsid w:val="00402B4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3Char">
    <w:name w:val="Naslov 3 Char"/>
    <w:basedOn w:val="Zadanifontodlomka"/>
    <w:link w:val="Naslov3"/>
    <w:uiPriority w:val="9"/>
    <w:rsid w:val="00402B4E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rsid w:val="00402B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8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20A4"/>
  </w:style>
  <w:style w:type="paragraph" w:styleId="Podnoje">
    <w:name w:val="footer"/>
    <w:basedOn w:val="Normal"/>
    <w:link w:val="PodnojeChar"/>
    <w:uiPriority w:val="99"/>
    <w:unhideWhenUsed/>
    <w:rsid w:val="0048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20A4"/>
  </w:style>
  <w:style w:type="paragraph" w:styleId="Odlomakpopisa">
    <w:name w:val="List Paragraph"/>
    <w:basedOn w:val="Normal"/>
    <w:uiPriority w:val="34"/>
    <w:qFormat/>
    <w:rsid w:val="00A3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A9F4-C10C-4D8E-9303-6E854034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opcina-sl-samac@outlook.com</cp:lastModifiedBy>
  <cp:revision>2</cp:revision>
  <dcterms:created xsi:type="dcterms:W3CDTF">2025-12-01T15:08:00Z</dcterms:created>
  <dcterms:modified xsi:type="dcterms:W3CDTF">2025-12-01T15:08:00Z</dcterms:modified>
</cp:coreProperties>
</file>